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2F53" w:rsidRPr="00BB348C" w:rsidRDefault="00C17E85" w:rsidP="00500165">
      <w:pPr>
        <w:pStyle w:val="Ttulo2"/>
        <w:rPr>
          <w:lang w:val="pt-BR"/>
        </w:rPr>
      </w:pPr>
      <w:r w:rsidRPr="00BB348C">
        <w:rPr>
          <w:lang w:val="pt-BR"/>
        </w:rPr>
        <w:t>MEMORANDO</w:t>
      </w:r>
    </w:p>
    <w:p w:rsidR="00196698" w:rsidRPr="00BB348C" w:rsidRDefault="00196698" w:rsidP="008B490F">
      <w:pPr>
        <w:pStyle w:val="Standard"/>
        <w:jc w:val="center"/>
        <w:rPr>
          <w:rFonts w:ascii="Garamond" w:hAnsi="Garamond" w:cs="Arial"/>
          <w:b/>
          <w:sz w:val="25"/>
          <w:szCs w:val="25"/>
          <w:lang w:val="pt-BR"/>
        </w:rPr>
      </w:pPr>
    </w:p>
    <w:p w:rsidR="00493B84" w:rsidRPr="00BB348C" w:rsidRDefault="00493B84" w:rsidP="008B490F">
      <w:pPr>
        <w:pStyle w:val="Standard"/>
        <w:tabs>
          <w:tab w:val="left" w:pos="1267"/>
          <w:tab w:val="left" w:pos="7425"/>
        </w:tabs>
        <w:rPr>
          <w:rFonts w:ascii="Garamond" w:hAnsi="Garamond" w:cs="Arial"/>
          <w:sz w:val="25"/>
          <w:szCs w:val="25"/>
          <w:lang w:val="pt-BR"/>
        </w:rPr>
      </w:pPr>
    </w:p>
    <w:p w:rsidR="005C2F53" w:rsidRPr="00BB348C" w:rsidRDefault="00C17E85" w:rsidP="008B490F">
      <w:pPr>
        <w:pStyle w:val="Standard"/>
        <w:tabs>
          <w:tab w:val="left" w:pos="1267"/>
          <w:tab w:val="left" w:pos="7425"/>
        </w:tabs>
        <w:rPr>
          <w:rFonts w:ascii="Garamond" w:hAnsi="Garamond" w:cs="Arial"/>
          <w:sz w:val="25"/>
          <w:szCs w:val="25"/>
          <w:lang w:val="pt-BR"/>
        </w:rPr>
      </w:pPr>
      <w:r w:rsidRPr="00BB348C">
        <w:rPr>
          <w:rFonts w:ascii="Garamond" w:hAnsi="Garamond" w:cs="Arial"/>
          <w:sz w:val="25"/>
          <w:szCs w:val="25"/>
          <w:lang w:val="pt-BR"/>
        </w:rPr>
        <w:t>Bogotá, D.C.</w:t>
      </w:r>
    </w:p>
    <w:p w:rsidR="005C2F53" w:rsidRPr="00BB348C" w:rsidRDefault="005C2F53" w:rsidP="008B490F">
      <w:pPr>
        <w:pStyle w:val="Standard"/>
        <w:tabs>
          <w:tab w:val="left" w:pos="1267"/>
          <w:tab w:val="left" w:pos="7425"/>
        </w:tabs>
        <w:rPr>
          <w:rFonts w:ascii="Garamond" w:hAnsi="Garamond" w:cs="Arial"/>
          <w:b/>
          <w:sz w:val="25"/>
          <w:szCs w:val="25"/>
          <w:lang w:val="pt-BR"/>
        </w:rPr>
      </w:pPr>
    </w:p>
    <w:p w:rsidR="00493B84" w:rsidRPr="00BB348C" w:rsidRDefault="00493B84" w:rsidP="00866C4E">
      <w:pPr>
        <w:pStyle w:val="Standard"/>
        <w:rPr>
          <w:rFonts w:ascii="Garamond" w:hAnsi="Garamond"/>
          <w:b/>
          <w:bCs/>
          <w:sz w:val="25"/>
          <w:szCs w:val="25"/>
        </w:rPr>
      </w:pPr>
    </w:p>
    <w:p w:rsidR="00866C4E" w:rsidRPr="00BB348C" w:rsidRDefault="00C17E85" w:rsidP="00866C4E">
      <w:pPr>
        <w:pStyle w:val="Standard"/>
        <w:rPr>
          <w:rFonts w:ascii="Garamond" w:hAnsi="Garamond"/>
          <w:b/>
          <w:bCs/>
          <w:sz w:val="25"/>
          <w:szCs w:val="25"/>
        </w:rPr>
      </w:pPr>
      <w:r w:rsidRPr="00BB348C">
        <w:rPr>
          <w:rFonts w:ascii="Garamond" w:hAnsi="Garamond"/>
          <w:b/>
          <w:bCs/>
          <w:sz w:val="25"/>
          <w:szCs w:val="25"/>
        </w:rPr>
        <w:t>PARA:</w:t>
      </w:r>
      <w:r w:rsidRPr="00BB348C">
        <w:rPr>
          <w:rFonts w:ascii="Garamond" w:hAnsi="Garamond"/>
          <w:b/>
          <w:bCs/>
          <w:sz w:val="25"/>
          <w:szCs w:val="25"/>
        </w:rPr>
        <w:tab/>
      </w:r>
      <w:r w:rsidR="00BB348C">
        <w:rPr>
          <w:rFonts w:ascii="Garamond" w:hAnsi="Garamond"/>
          <w:b/>
          <w:bCs/>
          <w:sz w:val="25"/>
          <w:szCs w:val="25"/>
        </w:rPr>
        <w:t xml:space="preserve">           </w:t>
      </w:r>
      <w:r w:rsidR="008422CC" w:rsidRPr="00BB348C">
        <w:rPr>
          <w:rFonts w:ascii="Garamond" w:hAnsi="Garamond"/>
          <w:b/>
          <w:bCs/>
          <w:sz w:val="25"/>
          <w:szCs w:val="25"/>
        </w:rPr>
        <w:t xml:space="preserve">ANGELA VIANNEY ORTIZ ROLDAN </w:t>
      </w:r>
    </w:p>
    <w:p w:rsidR="004D32E3" w:rsidRPr="00BB348C" w:rsidRDefault="00866C4E" w:rsidP="00866C4E">
      <w:pPr>
        <w:pStyle w:val="Standard"/>
        <w:ind w:left="708" w:firstLine="708"/>
        <w:rPr>
          <w:rFonts w:ascii="Garamond" w:hAnsi="Garamond"/>
          <w:b/>
          <w:bCs/>
          <w:sz w:val="25"/>
          <w:szCs w:val="25"/>
        </w:rPr>
      </w:pPr>
      <w:r w:rsidRPr="00BB348C">
        <w:rPr>
          <w:rFonts w:ascii="Garamond" w:hAnsi="Garamond"/>
          <w:b/>
          <w:bCs/>
          <w:sz w:val="25"/>
          <w:szCs w:val="25"/>
        </w:rPr>
        <w:t xml:space="preserve">Alcaldesa Local de </w:t>
      </w:r>
      <w:r w:rsidR="008422CC" w:rsidRPr="00BB348C">
        <w:rPr>
          <w:rFonts w:ascii="Garamond" w:hAnsi="Garamond"/>
          <w:b/>
          <w:bCs/>
          <w:sz w:val="25"/>
          <w:szCs w:val="25"/>
        </w:rPr>
        <w:t xml:space="preserve">Engativá </w:t>
      </w:r>
    </w:p>
    <w:p w:rsidR="005C2F53" w:rsidRPr="00BB348C" w:rsidRDefault="005C2F53" w:rsidP="008B490F">
      <w:pPr>
        <w:pStyle w:val="Standard"/>
        <w:rPr>
          <w:rFonts w:ascii="Garamond" w:hAnsi="Garamond"/>
          <w:b/>
          <w:bCs/>
          <w:sz w:val="25"/>
          <w:szCs w:val="25"/>
        </w:rPr>
      </w:pPr>
    </w:p>
    <w:p w:rsidR="00866C4E" w:rsidRPr="00BB348C" w:rsidRDefault="00866C4E" w:rsidP="008B490F">
      <w:pPr>
        <w:pStyle w:val="Standard"/>
        <w:rPr>
          <w:rFonts w:ascii="Garamond" w:hAnsi="Garamond"/>
          <w:b/>
          <w:bCs/>
          <w:sz w:val="25"/>
          <w:szCs w:val="25"/>
        </w:rPr>
      </w:pPr>
    </w:p>
    <w:p w:rsidR="005C2F53" w:rsidRPr="00BB348C" w:rsidRDefault="00C17E85" w:rsidP="008B490F">
      <w:pPr>
        <w:pStyle w:val="Standard"/>
        <w:rPr>
          <w:rFonts w:ascii="Garamond" w:hAnsi="Garamond"/>
          <w:b/>
          <w:bCs/>
          <w:sz w:val="25"/>
          <w:szCs w:val="25"/>
        </w:rPr>
      </w:pPr>
      <w:r w:rsidRPr="00BB348C">
        <w:rPr>
          <w:rFonts w:ascii="Garamond" w:hAnsi="Garamond"/>
          <w:b/>
          <w:bCs/>
          <w:sz w:val="25"/>
          <w:szCs w:val="25"/>
        </w:rPr>
        <w:t>DE:</w:t>
      </w:r>
      <w:r w:rsidRPr="00BB348C">
        <w:rPr>
          <w:rFonts w:ascii="Garamond" w:hAnsi="Garamond"/>
          <w:b/>
          <w:bCs/>
          <w:sz w:val="25"/>
          <w:szCs w:val="25"/>
        </w:rPr>
        <w:tab/>
      </w:r>
      <w:r w:rsidRPr="00BB348C">
        <w:rPr>
          <w:rFonts w:ascii="Garamond" w:hAnsi="Garamond"/>
          <w:b/>
          <w:bCs/>
          <w:sz w:val="25"/>
          <w:szCs w:val="25"/>
        </w:rPr>
        <w:tab/>
        <w:t xml:space="preserve">DIRECCIÓN DE CONTRATACIÓN </w:t>
      </w:r>
    </w:p>
    <w:p w:rsidR="00CF4AC9" w:rsidRPr="00BB348C" w:rsidRDefault="00CF4AC9" w:rsidP="008B490F">
      <w:pPr>
        <w:pStyle w:val="Standard"/>
        <w:rPr>
          <w:rFonts w:ascii="Garamond" w:hAnsi="Garamond"/>
          <w:b/>
          <w:bCs/>
          <w:sz w:val="25"/>
          <w:szCs w:val="25"/>
        </w:rPr>
      </w:pPr>
    </w:p>
    <w:p w:rsidR="00493B84" w:rsidRPr="00BB348C" w:rsidRDefault="00493B84" w:rsidP="00866C4E">
      <w:pPr>
        <w:pStyle w:val="Standard"/>
        <w:ind w:left="1418" w:hanging="1418"/>
        <w:jc w:val="both"/>
        <w:rPr>
          <w:rFonts w:ascii="Garamond" w:hAnsi="Garamond"/>
          <w:b/>
          <w:bCs/>
          <w:sz w:val="25"/>
          <w:szCs w:val="25"/>
        </w:rPr>
      </w:pPr>
    </w:p>
    <w:p w:rsidR="00866C4E" w:rsidRPr="00BB348C" w:rsidRDefault="008D0793" w:rsidP="00866C4E">
      <w:pPr>
        <w:pStyle w:val="Standard"/>
        <w:ind w:left="1418" w:hanging="1418"/>
        <w:jc w:val="both"/>
        <w:rPr>
          <w:rFonts w:ascii="Garamond" w:hAnsi="Garamond"/>
          <w:sz w:val="25"/>
          <w:szCs w:val="25"/>
        </w:rPr>
      </w:pPr>
      <w:r w:rsidRPr="00BB348C">
        <w:rPr>
          <w:rFonts w:ascii="Garamond" w:hAnsi="Garamond"/>
          <w:b/>
          <w:bCs/>
          <w:sz w:val="25"/>
          <w:szCs w:val="25"/>
        </w:rPr>
        <w:t>ASUNTO:</w:t>
      </w:r>
      <w:r w:rsidRPr="00BB348C">
        <w:rPr>
          <w:rFonts w:ascii="Garamond" w:hAnsi="Garamond"/>
          <w:b/>
          <w:bCs/>
          <w:sz w:val="25"/>
          <w:szCs w:val="25"/>
        </w:rPr>
        <w:tab/>
      </w:r>
      <w:r w:rsidR="001302EF" w:rsidRPr="00BB348C">
        <w:rPr>
          <w:rFonts w:ascii="Garamond" w:hAnsi="Garamond"/>
          <w:b/>
          <w:bCs/>
          <w:sz w:val="25"/>
          <w:szCs w:val="25"/>
        </w:rPr>
        <w:t xml:space="preserve">Respuesta solicitud de concepto mayores cantidades de obra, </w:t>
      </w:r>
      <w:r w:rsidR="00C91B97" w:rsidRPr="00BB348C">
        <w:rPr>
          <w:rFonts w:ascii="Garamond" w:hAnsi="Garamond"/>
          <w:b/>
          <w:bCs/>
          <w:sz w:val="25"/>
          <w:szCs w:val="25"/>
        </w:rPr>
        <w:t>radicado</w:t>
      </w:r>
      <w:r w:rsidR="0034158D" w:rsidRPr="00BB348C">
        <w:rPr>
          <w:rFonts w:ascii="Garamond" w:hAnsi="Garamond"/>
          <w:b/>
          <w:bCs/>
          <w:sz w:val="25"/>
          <w:szCs w:val="25"/>
        </w:rPr>
        <w:t xml:space="preserve"> </w:t>
      </w:r>
      <w:r w:rsidR="001302EF" w:rsidRPr="00BB348C">
        <w:rPr>
          <w:rFonts w:ascii="Garamond" w:hAnsi="Garamond"/>
          <w:b/>
          <w:bCs/>
          <w:sz w:val="25"/>
          <w:szCs w:val="25"/>
        </w:rPr>
        <w:t>20186020011773</w:t>
      </w:r>
      <w:r w:rsidR="0034158D" w:rsidRPr="00BB348C">
        <w:rPr>
          <w:rFonts w:ascii="Garamond" w:hAnsi="Garamond"/>
          <w:b/>
          <w:bCs/>
          <w:sz w:val="25"/>
          <w:szCs w:val="25"/>
        </w:rPr>
        <w:t xml:space="preserve"> del </w:t>
      </w:r>
      <w:r w:rsidR="001302EF" w:rsidRPr="00BB348C">
        <w:rPr>
          <w:rFonts w:ascii="Garamond" w:hAnsi="Garamond"/>
          <w:b/>
          <w:bCs/>
          <w:sz w:val="25"/>
          <w:szCs w:val="25"/>
        </w:rPr>
        <w:t>6</w:t>
      </w:r>
      <w:r w:rsidR="0034158D" w:rsidRPr="00BB348C">
        <w:rPr>
          <w:rFonts w:ascii="Garamond" w:hAnsi="Garamond"/>
          <w:b/>
          <w:bCs/>
          <w:sz w:val="25"/>
          <w:szCs w:val="25"/>
        </w:rPr>
        <w:t xml:space="preserve"> de </w:t>
      </w:r>
      <w:r w:rsidR="001302EF" w:rsidRPr="00BB348C">
        <w:rPr>
          <w:rFonts w:ascii="Garamond" w:hAnsi="Garamond"/>
          <w:b/>
          <w:bCs/>
          <w:sz w:val="25"/>
          <w:szCs w:val="25"/>
        </w:rPr>
        <w:t xml:space="preserve">abril </w:t>
      </w:r>
      <w:r w:rsidR="0034158D" w:rsidRPr="00BB348C">
        <w:rPr>
          <w:rFonts w:ascii="Garamond" w:hAnsi="Garamond"/>
          <w:b/>
          <w:bCs/>
          <w:sz w:val="25"/>
          <w:szCs w:val="25"/>
        </w:rPr>
        <w:t>de 2018</w:t>
      </w:r>
      <w:r w:rsidR="00C91B97" w:rsidRPr="00BB348C">
        <w:rPr>
          <w:rFonts w:ascii="Garamond" w:hAnsi="Garamond"/>
          <w:b/>
          <w:bCs/>
          <w:sz w:val="25"/>
          <w:szCs w:val="25"/>
        </w:rPr>
        <w:t xml:space="preserve">. </w:t>
      </w:r>
    </w:p>
    <w:p w:rsidR="008D0793" w:rsidRPr="00BB348C" w:rsidRDefault="008D0793" w:rsidP="008D0793">
      <w:pPr>
        <w:jc w:val="both"/>
        <w:rPr>
          <w:rFonts w:ascii="Garamond" w:eastAsia="Times New Roman" w:hAnsi="Garamond" w:cs="Times New Roman"/>
          <w:color w:val="00000A"/>
          <w:sz w:val="25"/>
          <w:szCs w:val="25"/>
          <w:lang w:val="es-ES" w:bidi="ar-SA"/>
        </w:rPr>
      </w:pPr>
    </w:p>
    <w:p w:rsidR="00493B84" w:rsidRPr="00BB348C" w:rsidRDefault="00493B84" w:rsidP="008D0793">
      <w:pPr>
        <w:rPr>
          <w:rFonts w:ascii="Garamond" w:eastAsia="Times New Roman" w:hAnsi="Garamond" w:cs="Times New Roman"/>
          <w:color w:val="00000A"/>
          <w:sz w:val="25"/>
          <w:szCs w:val="25"/>
          <w:lang w:val="es-ES" w:bidi="ar-SA"/>
        </w:rPr>
      </w:pPr>
    </w:p>
    <w:p w:rsidR="008D0793" w:rsidRPr="00BB348C" w:rsidRDefault="00866C4E" w:rsidP="008D0793">
      <w:pPr>
        <w:rPr>
          <w:rFonts w:ascii="Garamond" w:eastAsia="Times New Roman" w:hAnsi="Garamond" w:cs="Times New Roman"/>
          <w:color w:val="00000A"/>
          <w:sz w:val="25"/>
          <w:szCs w:val="25"/>
          <w:lang w:val="es-ES" w:bidi="ar-SA"/>
        </w:rPr>
      </w:pPr>
      <w:r w:rsidRPr="00BB348C">
        <w:rPr>
          <w:rFonts w:ascii="Garamond" w:eastAsia="Times New Roman" w:hAnsi="Garamond" w:cs="Times New Roman"/>
          <w:color w:val="00000A"/>
          <w:sz w:val="25"/>
          <w:szCs w:val="25"/>
          <w:lang w:val="es-ES" w:bidi="ar-SA"/>
        </w:rPr>
        <w:t xml:space="preserve">Reciba un cordial saludo, estimada Alcaldesa </w:t>
      </w:r>
      <w:r w:rsidR="0034158D" w:rsidRPr="00BB348C">
        <w:rPr>
          <w:rFonts w:ascii="Garamond" w:eastAsia="Times New Roman" w:hAnsi="Garamond" w:cs="Times New Roman"/>
          <w:color w:val="00000A"/>
          <w:sz w:val="25"/>
          <w:szCs w:val="25"/>
          <w:lang w:val="es-ES" w:bidi="ar-SA"/>
        </w:rPr>
        <w:t>Angela</w:t>
      </w:r>
      <w:r w:rsidR="008D0793" w:rsidRPr="00BB348C">
        <w:rPr>
          <w:rFonts w:ascii="Garamond" w:eastAsia="Times New Roman" w:hAnsi="Garamond" w:cs="Times New Roman"/>
          <w:color w:val="00000A"/>
          <w:sz w:val="25"/>
          <w:szCs w:val="25"/>
          <w:lang w:val="es-ES" w:bidi="ar-SA"/>
        </w:rPr>
        <w:t xml:space="preserve">: </w:t>
      </w:r>
    </w:p>
    <w:p w:rsidR="008D0793" w:rsidRPr="00BB348C" w:rsidRDefault="008D0793" w:rsidP="008D0793">
      <w:pPr>
        <w:rPr>
          <w:rFonts w:ascii="Garamond" w:eastAsia="Times New Roman" w:hAnsi="Garamond" w:cs="Times New Roman"/>
          <w:color w:val="00000A"/>
          <w:sz w:val="25"/>
          <w:szCs w:val="25"/>
          <w:lang w:val="es-ES" w:bidi="ar-SA"/>
        </w:rPr>
      </w:pPr>
      <w:r w:rsidRPr="00BB348C">
        <w:rPr>
          <w:rFonts w:ascii="Garamond" w:eastAsia="Times New Roman" w:hAnsi="Garamond" w:cs="Times New Roman"/>
          <w:color w:val="00000A"/>
          <w:sz w:val="25"/>
          <w:szCs w:val="25"/>
          <w:lang w:val="es-ES" w:bidi="ar-SA"/>
        </w:rPr>
        <w:t xml:space="preserve">    </w:t>
      </w:r>
    </w:p>
    <w:p w:rsidR="008B03FC" w:rsidRPr="00BB348C" w:rsidRDefault="008B03FC" w:rsidP="008B03FC">
      <w:pPr>
        <w:pStyle w:val="Standard"/>
        <w:jc w:val="both"/>
        <w:rPr>
          <w:rFonts w:ascii="Garamond" w:hAnsi="Garamond"/>
          <w:sz w:val="25"/>
          <w:szCs w:val="25"/>
        </w:rPr>
      </w:pPr>
      <w:r w:rsidRPr="00BB348C">
        <w:rPr>
          <w:rFonts w:ascii="Garamond" w:hAnsi="Garamond"/>
          <w:sz w:val="25"/>
          <w:szCs w:val="25"/>
        </w:rPr>
        <w:t xml:space="preserve">En atención al memorando radicado bajo el número del asunto, en donde solicita concepto jurídico para determinar cual es el documento idóneo para soportar la solicitud del Certificado de Disponibilidad Presupuestal que se requiere para proceder al pago de las mayores cantidades de obra </w:t>
      </w:r>
      <w:r w:rsidR="001302EF" w:rsidRPr="00BB348C">
        <w:rPr>
          <w:rFonts w:ascii="Garamond" w:hAnsi="Garamond"/>
          <w:sz w:val="25"/>
          <w:szCs w:val="25"/>
        </w:rPr>
        <w:t>e</w:t>
      </w:r>
      <w:r w:rsidRPr="00BB348C">
        <w:rPr>
          <w:rFonts w:ascii="Garamond" w:hAnsi="Garamond"/>
          <w:sz w:val="25"/>
          <w:szCs w:val="25"/>
        </w:rPr>
        <w:t xml:space="preserve">n virtud del contrato </w:t>
      </w:r>
      <w:r w:rsidR="001302EF" w:rsidRPr="00BB348C">
        <w:rPr>
          <w:rFonts w:ascii="Garamond" w:hAnsi="Garamond"/>
          <w:sz w:val="25"/>
          <w:szCs w:val="25"/>
        </w:rPr>
        <w:t>223</w:t>
      </w:r>
      <w:r w:rsidRPr="00BB348C">
        <w:rPr>
          <w:rFonts w:ascii="Garamond" w:hAnsi="Garamond"/>
          <w:sz w:val="25"/>
          <w:szCs w:val="25"/>
        </w:rPr>
        <w:t xml:space="preserve"> de 2016, esta Dirección de Contratación una vez revisados los antecedentes expuestos en la comunicación de la referencia, se permite manifestarle lo siguiente: </w:t>
      </w:r>
    </w:p>
    <w:p w:rsidR="008B03FC" w:rsidRPr="00BB348C" w:rsidRDefault="008B03FC" w:rsidP="008B03FC">
      <w:pPr>
        <w:pStyle w:val="Standard"/>
        <w:jc w:val="both"/>
        <w:rPr>
          <w:rFonts w:ascii="Garamond" w:hAnsi="Garamond"/>
          <w:sz w:val="25"/>
          <w:szCs w:val="25"/>
        </w:rPr>
      </w:pPr>
    </w:p>
    <w:p w:rsidR="008B03FC" w:rsidRPr="00BB348C" w:rsidRDefault="008B03FC" w:rsidP="008B03FC">
      <w:pPr>
        <w:pStyle w:val="Standard"/>
        <w:jc w:val="both"/>
        <w:rPr>
          <w:rFonts w:ascii="Garamond" w:hAnsi="Garamond"/>
          <w:sz w:val="25"/>
          <w:szCs w:val="25"/>
        </w:rPr>
      </w:pPr>
      <w:r w:rsidRPr="00BB348C">
        <w:rPr>
          <w:rFonts w:ascii="Garamond" w:hAnsi="Garamond"/>
          <w:sz w:val="25"/>
          <w:szCs w:val="25"/>
        </w:rPr>
        <w:t>De conformidad con el artículo 25 del Decreto 411 de 2016 son funciones de la Dirección de Contratación en lo relacionado con los Fondos de Desarrollo Local entre otras las siguientes:</w:t>
      </w:r>
    </w:p>
    <w:p w:rsidR="008B03FC" w:rsidRPr="00BB348C" w:rsidRDefault="008B03FC" w:rsidP="008B03FC">
      <w:pPr>
        <w:pStyle w:val="Standard"/>
        <w:jc w:val="both"/>
        <w:rPr>
          <w:rFonts w:ascii="Garamond" w:hAnsi="Garamond"/>
          <w:sz w:val="25"/>
          <w:szCs w:val="25"/>
        </w:rPr>
      </w:pPr>
    </w:p>
    <w:p w:rsidR="008B03FC" w:rsidRPr="00BB348C" w:rsidRDefault="008B03FC" w:rsidP="008B03FC">
      <w:pPr>
        <w:pStyle w:val="Standard"/>
        <w:jc w:val="both"/>
        <w:rPr>
          <w:rFonts w:ascii="Garamond" w:hAnsi="Garamond"/>
          <w:sz w:val="25"/>
          <w:szCs w:val="25"/>
        </w:rPr>
      </w:pPr>
      <w:r w:rsidRPr="00BB348C">
        <w:rPr>
          <w:rFonts w:ascii="Garamond" w:hAnsi="Garamond"/>
          <w:sz w:val="25"/>
          <w:szCs w:val="25"/>
        </w:rPr>
        <w:t>(…)</w:t>
      </w:r>
    </w:p>
    <w:p w:rsidR="008B03FC" w:rsidRPr="00BB348C" w:rsidRDefault="008B03FC" w:rsidP="008B03FC">
      <w:pPr>
        <w:shd w:val="clear" w:color="auto" w:fill="FFFFFF"/>
        <w:suppressAutoHyphens w:val="0"/>
        <w:ind w:left="1416"/>
        <w:jc w:val="both"/>
        <w:rPr>
          <w:rFonts w:ascii="Garamond" w:hAnsi="Garamond"/>
          <w:i/>
          <w:sz w:val="25"/>
          <w:szCs w:val="25"/>
        </w:rPr>
      </w:pPr>
      <w:r w:rsidRPr="00BB348C">
        <w:rPr>
          <w:rFonts w:ascii="Garamond" w:hAnsi="Garamond"/>
          <w:b/>
          <w:i/>
          <w:sz w:val="25"/>
          <w:szCs w:val="25"/>
        </w:rPr>
        <w:t>ARTÍCULO 25°. DIRECCIÓN DE CONTRATACIÓN.</w:t>
      </w:r>
      <w:r w:rsidRPr="00BB348C">
        <w:rPr>
          <w:rFonts w:ascii="Garamond" w:hAnsi="Garamond"/>
          <w:i/>
          <w:sz w:val="25"/>
          <w:szCs w:val="25"/>
        </w:rPr>
        <w:t> Corresponde Dirección de Contratación (sic) el ejercicio de las siguientes funciones:</w:t>
      </w:r>
    </w:p>
    <w:p w:rsidR="008B03FC" w:rsidRPr="00BB348C" w:rsidRDefault="008B03FC" w:rsidP="008B03FC">
      <w:pPr>
        <w:shd w:val="clear" w:color="auto" w:fill="FFFFFF"/>
        <w:suppressAutoHyphens w:val="0"/>
        <w:ind w:left="1416"/>
        <w:jc w:val="both"/>
        <w:rPr>
          <w:rFonts w:ascii="Garamond" w:hAnsi="Garamond"/>
          <w:i/>
          <w:sz w:val="25"/>
          <w:szCs w:val="25"/>
        </w:rPr>
      </w:pPr>
    </w:p>
    <w:p w:rsidR="008B03FC" w:rsidRPr="00BB348C" w:rsidRDefault="008B03FC" w:rsidP="008B03FC">
      <w:pPr>
        <w:shd w:val="clear" w:color="auto" w:fill="FFFFFF"/>
        <w:suppressAutoHyphens w:val="0"/>
        <w:ind w:left="1416"/>
        <w:jc w:val="both"/>
        <w:rPr>
          <w:rFonts w:ascii="Garamond" w:hAnsi="Garamond"/>
          <w:i/>
          <w:sz w:val="25"/>
          <w:szCs w:val="25"/>
        </w:rPr>
      </w:pPr>
      <w:r w:rsidRPr="00BB348C">
        <w:rPr>
          <w:rFonts w:ascii="Garamond" w:hAnsi="Garamond"/>
          <w:i/>
          <w:sz w:val="25"/>
          <w:szCs w:val="25"/>
        </w:rPr>
        <w:t>(…) </w:t>
      </w:r>
    </w:p>
    <w:p w:rsidR="008B03FC" w:rsidRPr="00BB348C" w:rsidRDefault="008B03FC" w:rsidP="008B03FC">
      <w:pPr>
        <w:shd w:val="clear" w:color="auto" w:fill="FFFFFF"/>
        <w:suppressAutoHyphens w:val="0"/>
        <w:ind w:left="1416"/>
        <w:jc w:val="both"/>
        <w:rPr>
          <w:rFonts w:ascii="Garamond" w:hAnsi="Garamond"/>
          <w:i/>
          <w:sz w:val="25"/>
          <w:szCs w:val="25"/>
        </w:rPr>
      </w:pPr>
      <w:r w:rsidRPr="00BB348C">
        <w:rPr>
          <w:rFonts w:ascii="Garamond" w:hAnsi="Garamond"/>
          <w:i/>
          <w:sz w:val="25"/>
          <w:szCs w:val="25"/>
        </w:rPr>
        <w:t> </w:t>
      </w:r>
    </w:p>
    <w:p w:rsidR="008B03FC" w:rsidRPr="00BB348C" w:rsidRDefault="008B03FC" w:rsidP="008B03FC">
      <w:pPr>
        <w:shd w:val="clear" w:color="auto" w:fill="FFFFFF"/>
        <w:suppressAutoHyphens w:val="0"/>
        <w:ind w:left="1416"/>
        <w:jc w:val="both"/>
        <w:rPr>
          <w:rFonts w:ascii="Garamond" w:hAnsi="Garamond"/>
          <w:i/>
          <w:sz w:val="25"/>
          <w:szCs w:val="25"/>
        </w:rPr>
      </w:pPr>
      <w:r w:rsidRPr="00BB348C">
        <w:rPr>
          <w:rFonts w:ascii="Garamond" w:hAnsi="Garamond"/>
          <w:i/>
          <w:sz w:val="25"/>
          <w:szCs w:val="25"/>
        </w:rPr>
        <w:t>l) Organizar el seguimiento y control jurídico sobre la ejecución de los contratos en que hace parte la Secretaría de Gobierno y de aquellos suscritos por la Secretaría como Unidad Ejecutiva Local con cargo a los recursos de los Fondos de Desarrollo Local.</w:t>
      </w:r>
    </w:p>
    <w:p w:rsidR="008B03FC" w:rsidRPr="00BB348C" w:rsidRDefault="008B03FC" w:rsidP="008B03FC">
      <w:pPr>
        <w:shd w:val="clear" w:color="auto" w:fill="FFFFFF"/>
        <w:suppressAutoHyphens w:val="0"/>
        <w:ind w:left="1416"/>
        <w:jc w:val="both"/>
        <w:rPr>
          <w:rFonts w:ascii="Garamond" w:hAnsi="Garamond"/>
          <w:i/>
          <w:sz w:val="25"/>
          <w:szCs w:val="25"/>
        </w:rPr>
      </w:pPr>
      <w:r w:rsidRPr="00BB348C">
        <w:rPr>
          <w:rFonts w:ascii="Garamond" w:hAnsi="Garamond"/>
          <w:i/>
          <w:sz w:val="25"/>
          <w:szCs w:val="25"/>
        </w:rPr>
        <w:t> </w:t>
      </w:r>
    </w:p>
    <w:p w:rsidR="008B03FC" w:rsidRPr="00BB348C" w:rsidRDefault="008B03FC" w:rsidP="008B03FC">
      <w:pPr>
        <w:shd w:val="clear" w:color="auto" w:fill="FFFFFF"/>
        <w:suppressAutoHyphens w:val="0"/>
        <w:ind w:left="1416"/>
        <w:jc w:val="both"/>
        <w:rPr>
          <w:rFonts w:ascii="Garamond" w:hAnsi="Garamond"/>
          <w:i/>
          <w:sz w:val="25"/>
          <w:szCs w:val="25"/>
        </w:rPr>
      </w:pPr>
      <w:r w:rsidRPr="00BB348C">
        <w:rPr>
          <w:rFonts w:ascii="Garamond" w:hAnsi="Garamond"/>
          <w:i/>
          <w:sz w:val="25"/>
          <w:szCs w:val="25"/>
        </w:rPr>
        <w:t>m) Atender las peticiones, requerimientos y emitir los conceptos relacionados con asuntos de su competencia.  (…)</w:t>
      </w:r>
    </w:p>
    <w:p w:rsidR="008B03FC" w:rsidRPr="00BB348C" w:rsidRDefault="008B03FC" w:rsidP="008B03FC">
      <w:pPr>
        <w:shd w:val="clear" w:color="auto" w:fill="FFFFFF"/>
        <w:suppressAutoHyphens w:val="0"/>
        <w:ind w:left="1416"/>
        <w:jc w:val="both"/>
        <w:rPr>
          <w:rFonts w:ascii="Garamond" w:hAnsi="Garamond"/>
          <w:i/>
          <w:sz w:val="25"/>
          <w:szCs w:val="25"/>
        </w:rPr>
      </w:pPr>
      <w:r w:rsidRPr="00BB348C">
        <w:rPr>
          <w:rFonts w:ascii="Garamond" w:hAnsi="Garamond"/>
          <w:i/>
          <w:sz w:val="25"/>
          <w:szCs w:val="25"/>
        </w:rPr>
        <w:t> </w:t>
      </w:r>
    </w:p>
    <w:p w:rsidR="008B03FC" w:rsidRPr="00BB348C" w:rsidRDefault="008B03FC" w:rsidP="008B03FC">
      <w:pPr>
        <w:pStyle w:val="Standard"/>
        <w:jc w:val="both"/>
        <w:rPr>
          <w:rFonts w:ascii="Garamond" w:hAnsi="Garamond"/>
          <w:sz w:val="25"/>
          <w:szCs w:val="25"/>
        </w:rPr>
      </w:pPr>
      <w:r w:rsidRPr="00BB348C">
        <w:rPr>
          <w:rFonts w:ascii="Garamond" w:hAnsi="Garamond"/>
          <w:sz w:val="25"/>
          <w:szCs w:val="25"/>
        </w:rPr>
        <w:lastRenderedPageBreak/>
        <w:t>Ahora bien, revisado el contenido de la anterior disposición, es claro que, a partir de la vigencia del citado decreto, surge la obligación de la Dirección de Contratación como dependencia adscrita a la Subsecretaría de Gestión Institucional de la Secretaría Distrital de Gobierno, de realizar el seguimiento y control jurídico sobre la ejecución de los contratos suscritos por los Fondos de Desarrollo Local, y de emitir concepto sobre los diferentes asuntos contractuales no solo de la Secretaría, sino también de los citados entes a causa de su actividad contractual. Sin embargo, si bien, dicha competencia funcional posibilita el seguimiento y control de las actuaciones circunscritas a la gestión contractual de la Secretaría y los citados Fondos, la misma no debe sobrepasar los límites funcionales, las competencias y por ende las responsabilidades propias de los Alcaldes Locales como representantes legales de los mencionados Fondos Desarrollo Local, a la luz de las disposiciones contenidas en los artículos 93 del Decreto 1421 de 1993, artículo 1 del Decreto 460 de 1993 y en el artículo 2 del Decreto 101 de 2010.</w:t>
      </w:r>
    </w:p>
    <w:p w:rsidR="008B03FC" w:rsidRPr="00BB348C" w:rsidRDefault="008B03FC" w:rsidP="008B03FC">
      <w:pPr>
        <w:pStyle w:val="Standard"/>
        <w:jc w:val="both"/>
        <w:rPr>
          <w:rFonts w:ascii="Garamond" w:hAnsi="Garamond"/>
          <w:sz w:val="25"/>
          <w:szCs w:val="25"/>
        </w:rPr>
      </w:pPr>
    </w:p>
    <w:p w:rsidR="008B03FC" w:rsidRPr="00BB348C" w:rsidRDefault="008B03FC" w:rsidP="008B03FC">
      <w:pPr>
        <w:pStyle w:val="Standard"/>
        <w:jc w:val="both"/>
        <w:rPr>
          <w:rFonts w:ascii="Garamond" w:hAnsi="Garamond"/>
          <w:sz w:val="25"/>
          <w:szCs w:val="25"/>
        </w:rPr>
      </w:pPr>
      <w:r w:rsidRPr="00BB348C">
        <w:rPr>
          <w:rFonts w:ascii="Garamond" w:hAnsi="Garamond"/>
          <w:sz w:val="25"/>
          <w:szCs w:val="25"/>
        </w:rPr>
        <w:t xml:space="preserve">No obstante, y sin perjuicio de las decisiones que adopte el Fondo de Desarrollo de Local en el ámbito de las competencias normativas antes señaladas, esta Dirección de Contratación, frente a las consideraciones planteadas en el oficio del asunto se permite manifestarle: </w:t>
      </w:r>
    </w:p>
    <w:p w:rsidR="008B03FC" w:rsidRPr="00BB348C" w:rsidRDefault="008B03FC" w:rsidP="008B03FC">
      <w:pPr>
        <w:pStyle w:val="Standard"/>
        <w:jc w:val="both"/>
        <w:rPr>
          <w:rFonts w:ascii="Garamond" w:hAnsi="Garamond"/>
          <w:sz w:val="25"/>
          <w:szCs w:val="25"/>
        </w:rPr>
      </w:pPr>
    </w:p>
    <w:p w:rsidR="008B03FC" w:rsidRPr="00BB348C" w:rsidRDefault="008B03FC" w:rsidP="008B03FC">
      <w:pPr>
        <w:pStyle w:val="Standard"/>
        <w:jc w:val="both"/>
        <w:rPr>
          <w:rFonts w:ascii="Garamond" w:hAnsi="Garamond"/>
          <w:sz w:val="25"/>
          <w:szCs w:val="25"/>
        </w:rPr>
      </w:pPr>
      <w:r w:rsidRPr="00BB348C">
        <w:rPr>
          <w:rFonts w:ascii="Garamond" w:hAnsi="Garamond"/>
          <w:sz w:val="25"/>
          <w:szCs w:val="25"/>
        </w:rPr>
        <w:t xml:space="preserve">Sobre las mayores cantidades de obra reconocidas en virtud del contrato </w:t>
      </w:r>
      <w:r w:rsidR="002E0C9F" w:rsidRPr="00BB348C">
        <w:rPr>
          <w:rFonts w:ascii="Garamond" w:hAnsi="Garamond"/>
          <w:sz w:val="25"/>
          <w:szCs w:val="25"/>
        </w:rPr>
        <w:t>223</w:t>
      </w:r>
      <w:r w:rsidRPr="00BB348C">
        <w:rPr>
          <w:rFonts w:ascii="Garamond" w:hAnsi="Garamond"/>
          <w:sz w:val="25"/>
          <w:szCs w:val="25"/>
        </w:rPr>
        <w:t xml:space="preserve"> de 2016, el Fondo de Desarrollo Local de </w:t>
      </w:r>
      <w:r w:rsidR="002E0C9F" w:rsidRPr="00BB348C">
        <w:rPr>
          <w:rFonts w:ascii="Garamond" w:hAnsi="Garamond"/>
          <w:sz w:val="25"/>
          <w:szCs w:val="25"/>
        </w:rPr>
        <w:t>Engativá</w:t>
      </w:r>
      <w:r w:rsidRPr="00BB348C">
        <w:rPr>
          <w:rFonts w:ascii="Garamond" w:hAnsi="Garamond"/>
          <w:sz w:val="25"/>
          <w:szCs w:val="25"/>
        </w:rPr>
        <w:t xml:space="preserve"> justificó técnicamente su reconocimiento con base en las siguientes </w:t>
      </w:r>
      <w:r w:rsidR="00BB348C">
        <w:rPr>
          <w:rFonts w:ascii="Garamond" w:hAnsi="Garamond"/>
          <w:sz w:val="25"/>
          <w:szCs w:val="25"/>
        </w:rPr>
        <w:t>consideraciones</w:t>
      </w:r>
      <w:r w:rsidRPr="00BB348C">
        <w:rPr>
          <w:rFonts w:ascii="Garamond" w:hAnsi="Garamond"/>
          <w:sz w:val="25"/>
          <w:szCs w:val="25"/>
        </w:rPr>
        <w:t>:</w:t>
      </w:r>
    </w:p>
    <w:p w:rsidR="008B03FC" w:rsidRPr="00BB348C" w:rsidRDefault="008B03FC" w:rsidP="008B03FC">
      <w:pPr>
        <w:pStyle w:val="Standard"/>
        <w:jc w:val="both"/>
        <w:rPr>
          <w:rFonts w:ascii="Garamond" w:hAnsi="Garamond"/>
          <w:sz w:val="25"/>
          <w:szCs w:val="25"/>
        </w:rPr>
      </w:pPr>
    </w:p>
    <w:p w:rsidR="008B03FC" w:rsidRPr="00BB348C" w:rsidRDefault="008B03FC" w:rsidP="008B03FC">
      <w:pPr>
        <w:pStyle w:val="Standard"/>
        <w:jc w:val="both"/>
        <w:rPr>
          <w:rFonts w:ascii="Garamond" w:hAnsi="Garamond"/>
          <w:sz w:val="25"/>
          <w:szCs w:val="25"/>
        </w:rPr>
      </w:pPr>
      <w:r w:rsidRPr="00BB348C">
        <w:rPr>
          <w:rFonts w:ascii="Garamond" w:hAnsi="Garamond"/>
          <w:sz w:val="25"/>
          <w:szCs w:val="25"/>
        </w:rPr>
        <w:t>(…)</w:t>
      </w:r>
    </w:p>
    <w:p w:rsidR="00493B84" w:rsidRPr="00BB348C" w:rsidRDefault="00493B84" w:rsidP="00493B84">
      <w:pPr>
        <w:jc w:val="both"/>
        <w:rPr>
          <w:rFonts w:ascii="Garamond" w:hAnsi="Garamond" w:cs="Arial"/>
          <w:b/>
          <w:bCs/>
          <w:i/>
          <w:iCs/>
          <w:color w:val="221E1F"/>
          <w:sz w:val="25"/>
          <w:szCs w:val="25"/>
          <w:shd w:val="clear" w:color="auto" w:fill="FFFFFF"/>
        </w:rPr>
      </w:pPr>
    </w:p>
    <w:p w:rsidR="00493B84" w:rsidRPr="00BB348C" w:rsidRDefault="00493B84" w:rsidP="00493B84">
      <w:pPr>
        <w:pStyle w:val="Textoindependiente"/>
        <w:numPr>
          <w:ilvl w:val="0"/>
          <w:numId w:val="10"/>
        </w:numPr>
        <w:ind w:left="1428"/>
        <w:jc w:val="both"/>
        <w:textAlignment w:val="baseline"/>
        <w:rPr>
          <w:i/>
          <w:sz w:val="25"/>
          <w:szCs w:val="25"/>
        </w:rPr>
      </w:pPr>
      <w:r w:rsidRPr="00BB348C">
        <w:rPr>
          <w:rFonts w:ascii="Garamond" w:hAnsi="Garamond" w:cs="Arial"/>
          <w:i/>
          <w:sz w:val="25"/>
          <w:szCs w:val="25"/>
        </w:rPr>
        <w:t xml:space="preserve">El Fondo de Desarrollo Local de Engativá luego de adelantar todas las etapas de la Licitación Pública No. FDLE-LP-196-2016, mediante Resolución No. 723 del 22 de diciembre de 2016 adjudicó a la sociedad </w:t>
      </w:r>
      <w:r w:rsidRPr="00BB348C">
        <w:rPr>
          <w:rFonts w:ascii="Garamond" w:hAnsi="Garamond" w:cs="Arial"/>
          <w:bCs/>
          <w:i/>
          <w:sz w:val="25"/>
          <w:szCs w:val="25"/>
        </w:rPr>
        <w:t xml:space="preserve">CONSORCIO ANTARES, identificada con el NIT 901.038.424-2, el contrato No. 223 de 2016 que tiene por objeto “Realizar las obras de construcción, rehabilitación y/o mantenimiento de la malla vial de la localidad de Engativá”, el cual se suscribió el día </w:t>
      </w:r>
      <w:r w:rsidRPr="00BB348C">
        <w:rPr>
          <w:rFonts w:ascii="Garamond" w:hAnsi="Garamond" w:cs="Arial"/>
          <w:i/>
          <w:sz w:val="25"/>
          <w:szCs w:val="25"/>
        </w:rPr>
        <w:t>el 27 de diciembre de 2016.</w:t>
      </w:r>
    </w:p>
    <w:p w:rsidR="00493B84" w:rsidRPr="00BB348C" w:rsidRDefault="00493B84" w:rsidP="00493B84">
      <w:pPr>
        <w:pStyle w:val="Textoindependiente"/>
        <w:numPr>
          <w:ilvl w:val="0"/>
          <w:numId w:val="10"/>
        </w:numPr>
        <w:ind w:left="1428"/>
        <w:jc w:val="both"/>
        <w:textAlignment w:val="baseline"/>
        <w:rPr>
          <w:i/>
          <w:sz w:val="25"/>
          <w:szCs w:val="25"/>
        </w:rPr>
      </w:pPr>
      <w:r w:rsidRPr="00BB348C">
        <w:rPr>
          <w:rFonts w:ascii="Garamond" w:hAnsi="Garamond" w:cs="Arial"/>
          <w:i/>
          <w:sz w:val="25"/>
          <w:szCs w:val="25"/>
        </w:rPr>
        <w:t xml:space="preserve">El acta de inicio del </w:t>
      </w:r>
      <w:r w:rsidRPr="00BB348C">
        <w:rPr>
          <w:rFonts w:ascii="Garamond" w:hAnsi="Garamond" w:cs="Arial"/>
          <w:i/>
          <w:color w:val="000000"/>
          <w:sz w:val="25"/>
          <w:szCs w:val="25"/>
          <w:lang w:eastAsia="es-CO"/>
        </w:rPr>
        <w:t>contrato 223 de 2016</w:t>
      </w:r>
      <w:r w:rsidRPr="00BB348C">
        <w:rPr>
          <w:rFonts w:ascii="Garamond" w:hAnsi="Garamond"/>
          <w:i/>
          <w:sz w:val="25"/>
          <w:szCs w:val="25"/>
        </w:rPr>
        <w:t xml:space="preserve"> con fecha de 1 de febrero de 2017</w:t>
      </w:r>
    </w:p>
    <w:p w:rsidR="00493B84" w:rsidRPr="00BB348C" w:rsidRDefault="00493B84" w:rsidP="00493B84">
      <w:pPr>
        <w:pStyle w:val="Textoindependiente"/>
        <w:numPr>
          <w:ilvl w:val="0"/>
          <w:numId w:val="10"/>
        </w:numPr>
        <w:ind w:left="1428"/>
        <w:jc w:val="both"/>
        <w:textAlignment w:val="baseline"/>
        <w:rPr>
          <w:i/>
          <w:sz w:val="25"/>
          <w:szCs w:val="25"/>
        </w:rPr>
      </w:pPr>
      <w:r w:rsidRPr="00BB348C">
        <w:rPr>
          <w:rFonts w:ascii="Garamond" w:hAnsi="Garamond" w:cs="Arial"/>
          <w:i/>
          <w:color w:val="000000"/>
          <w:sz w:val="25"/>
          <w:szCs w:val="25"/>
          <w:lang w:eastAsia="es-CO"/>
        </w:rPr>
        <w:t>En la ejecución del contrato 223 de 2016 se realizaron diferentes tipos de intervenciones al pavimento de los segmentos viales como, reconstrucción y mantenimiento.</w:t>
      </w:r>
    </w:p>
    <w:p w:rsidR="00493B84" w:rsidRPr="00BB348C" w:rsidRDefault="00493B84" w:rsidP="00493B84">
      <w:pPr>
        <w:pStyle w:val="Textoindependiente"/>
        <w:numPr>
          <w:ilvl w:val="0"/>
          <w:numId w:val="10"/>
        </w:numPr>
        <w:ind w:left="1428"/>
        <w:jc w:val="both"/>
        <w:textAlignment w:val="baseline"/>
        <w:rPr>
          <w:i/>
          <w:sz w:val="25"/>
          <w:szCs w:val="25"/>
        </w:rPr>
      </w:pPr>
      <w:r w:rsidRPr="00BB348C">
        <w:rPr>
          <w:rFonts w:ascii="Garamond" w:hAnsi="Garamond" w:cs="Arial"/>
          <w:i/>
          <w:color w:val="000000"/>
          <w:sz w:val="25"/>
          <w:szCs w:val="25"/>
          <w:lang w:eastAsia="es-CO"/>
        </w:rPr>
        <w:t>Considerando el objeto contratado y su alcance, se evidenció durante la ejecución del mismo, que el estimado inicial de las cantidades de obras de algunos ítems previamente contemplados, eran necesario sobrepasar, dando lugar a una adición de la prestación debida, tal como se resume a continuación:</w:t>
      </w:r>
    </w:p>
    <w:p w:rsidR="00493B84" w:rsidRPr="00BB348C" w:rsidRDefault="00493B84" w:rsidP="00493B84">
      <w:pPr>
        <w:pStyle w:val="Textoindependiente"/>
        <w:ind w:left="708"/>
        <w:rPr>
          <w:rFonts w:ascii="Garamond" w:hAnsi="Garamond"/>
          <w:i/>
          <w:color w:val="00000A"/>
          <w:sz w:val="25"/>
          <w:szCs w:val="25"/>
          <w:lang w:eastAsia="zh-CN"/>
        </w:rPr>
      </w:pPr>
    </w:p>
    <w:p w:rsidR="00493B84" w:rsidRPr="00BB348C" w:rsidRDefault="00BB348C" w:rsidP="00493B84">
      <w:pPr>
        <w:pStyle w:val="Textoindependiente"/>
        <w:ind w:left="708"/>
        <w:jc w:val="center"/>
        <w:rPr>
          <w:rFonts w:ascii="Garamond" w:hAnsi="Garamond"/>
          <w:b/>
          <w:i/>
          <w:sz w:val="25"/>
          <w:szCs w:val="25"/>
        </w:rPr>
      </w:pPr>
      <w:r w:rsidRPr="00BB348C">
        <w:rPr>
          <w:rFonts w:ascii="Garamond" w:hAnsi="Garamond"/>
          <w:b/>
          <w:i/>
          <w:sz w:val="25"/>
          <w:szCs w:val="25"/>
        </w:rPr>
        <w:t>S</w:t>
      </w:r>
      <w:r w:rsidR="00493B84" w:rsidRPr="00BB348C">
        <w:rPr>
          <w:rFonts w:ascii="Garamond" w:hAnsi="Garamond"/>
          <w:b/>
          <w:i/>
          <w:sz w:val="25"/>
          <w:szCs w:val="25"/>
        </w:rPr>
        <w:t>EGMENTOS VIALES INTERVENIDOS EN EL CONTRATO No. 223 DE 2016</w:t>
      </w:r>
    </w:p>
    <w:tbl>
      <w:tblPr>
        <w:tblpPr w:leftFromText="141" w:rightFromText="141" w:vertAnchor="text" w:horzAnchor="margin" w:tblpXSpec="center" w:tblpY="171"/>
        <w:tblW w:w="7844" w:type="dxa"/>
        <w:tblCellMar>
          <w:left w:w="10" w:type="dxa"/>
          <w:right w:w="10" w:type="dxa"/>
        </w:tblCellMar>
        <w:tblLook w:val="0000" w:firstRow="0" w:lastRow="0" w:firstColumn="0" w:lastColumn="0" w:noHBand="0" w:noVBand="0"/>
      </w:tblPr>
      <w:tblGrid>
        <w:gridCol w:w="1509"/>
        <w:gridCol w:w="1203"/>
        <w:gridCol w:w="1492"/>
        <w:gridCol w:w="1210"/>
        <w:gridCol w:w="2430"/>
      </w:tblGrid>
      <w:tr w:rsidR="00493B84" w:rsidRPr="00BB348C" w:rsidTr="00BB348C">
        <w:trPr>
          <w:trHeight w:val="469"/>
        </w:trPr>
        <w:tc>
          <w:tcPr>
            <w:tcW w:w="154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493B84" w:rsidRPr="00BB348C" w:rsidRDefault="00493B84" w:rsidP="00897410">
            <w:pPr>
              <w:pStyle w:val="Textoindependiente"/>
              <w:jc w:val="center"/>
              <w:rPr>
                <w:rFonts w:ascii="Garamond" w:hAnsi="Garamond"/>
                <w:i/>
                <w:sz w:val="25"/>
                <w:szCs w:val="25"/>
              </w:rPr>
            </w:pPr>
            <w:r w:rsidRPr="00BB348C">
              <w:rPr>
                <w:rFonts w:ascii="Garamond" w:hAnsi="Garamond"/>
                <w:i/>
                <w:sz w:val="25"/>
                <w:szCs w:val="25"/>
              </w:rPr>
              <w:lastRenderedPageBreak/>
              <w:t>CIV</w:t>
            </w:r>
          </w:p>
        </w:tc>
        <w:tc>
          <w:tcPr>
            <w:tcW w:w="126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493B84" w:rsidRPr="00BB348C" w:rsidRDefault="00493B84" w:rsidP="00897410">
            <w:pPr>
              <w:pStyle w:val="Textoindependiente"/>
              <w:jc w:val="center"/>
              <w:rPr>
                <w:rFonts w:ascii="Garamond" w:hAnsi="Garamond"/>
                <w:i/>
                <w:sz w:val="25"/>
                <w:szCs w:val="25"/>
              </w:rPr>
            </w:pPr>
            <w:r w:rsidRPr="00BB348C">
              <w:rPr>
                <w:rFonts w:ascii="Garamond" w:hAnsi="Garamond"/>
                <w:i/>
                <w:sz w:val="25"/>
                <w:szCs w:val="25"/>
              </w:rPr>
              <w:t>EJE</w:t>
            </w:r>
          </w:p>
        </w:tc>
        <w:tc>
          <w:tcPr>
            <w:tcW w:w="154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493B84" w:rsidRPr="00BB348C" w:rsidRDefault="00493B84" w:rsidP="00897410">
            <w:pPr>
              <w:pStyle w:val="Textoindependiente"/>
              <w:jc w:val="center"/>
              <w:rPr>
                <w:rFonts w:ascii="Garamond" w:hAnsi="Garamond"/>
                <w:i/>
                <w:sz w:val="25"/>
                <w:szCs w:val="25"/>
              </w:rPr>
            </w:pPr>
            <w:r w:rsidRPr="00BB348C">
              <w:rPr>
                <w:rFonts w:ascii="Garamond" w:hAnsi="Garamond"/>
                <w:i/>
                <w:sz w:val="25"/>
                <w:szCs w:val="25"/>
              </w:rPr>
              <w:t>INICIO</w:t>
            </w:r>
          </w:p>
        </w:tc>
        <w:tc>
          <w:tcPr>
            <w:tcW w:w="1273"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493B84" w:rsidRPr="00BB348C" w:rsidRDefault="00493B84" w:rsidP="00897410">
            <w:pPr>
              <w:pStyle w:val="Textoindependiente"/>
              <w:jc w:val="center"/>
              <w:rPr>
                <w:rFonts w:ascii="Garamond" w:hAnsi="Garamond"/>
                <w:i/>
                <w:sz w:val="25"/>
                <w:szCs w:val="25"/>
              </w:rPr>
            </w:pPr>
            <w:r w:rsidRPr="00BB348C">
              <w:rPr>
                <w:rFonts w:ascii="Garamond" w:hAnsi="Garamond"/>
                <w:i/>
                <w:sz w:val="25"/>
                <w:szCs w:val="25"/>
              </w:rPr>
              <w:t>FIN</w:t>
            </w:r>
          </w:p>
        </w:tc>
        <w:tc>
          <w:tcPr>
            <w:tcW w:w="221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493B84" w:rsidRPr="00BB348C" w:rsidRDefault="00493B84" w:rsidP="00897410">
            <w:pPr>
              <w:pStyle w:val="Textoindependiente"/>
              <w:jc w:val="center"/>
              <w:rPr>
                <w:rFonts w:ascii="Garamond" w:hAnsi="Garamond"/>
                <w:i/>
                <w:sz w:val="25"/>
                <w:szCs w:val="25"/>
              </w:rPr>
            </w:pPr>
            <w:r w:rsidRPr="00BB348C">
              <w:rPr>
                <w:rFonts w:ascii="Garamond" w:hAnsi="Garamond"/>
                <w:i/>
                <w:sz w:val="25"/>
                <w:szCs w:val="25"/>
              </w:rPr>
              <w:t>TIPO DE INTERVENCIÓN</w:t>
            </w:r>
          </w:p>
        </w:tc>
      </w:tr>
      <w:tr w:rsidR="00493B84" w:rsidRPr="00BB348C" w:rsidTr="00BB348C">
        <w:trPr>
          <w:trHeight w:val="274"/>
        </w:trPr>
        <w:tc>
          <w:tcPr>
            <w:tcW w:w="154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493B84" w:rsidRPr="00BB348C" w:rsidRDefault="00493B84" w:rsidP="00897410">
            <w:pPr>
              <w:pStyle w:val="Textoindependiente"/>
              <w:jc w:val="center"/>
              <w:rPr>
                <w:rFonts w:ascii="Garamond" w:hAnsi="Garamond"/>
                <w:i/>
                <w:sz w:val="25"/>
                <w:szCs w:val="25"/>
              </w:rPr>
            </w:pPr>
            <w:r w:rsidRPr="00BB348C">
              <w:rPr>
                <w:rFonts w:ascii="Garamond" w:hAnsi="Garamond"/>
                <w:i/>
                <w:sz w:val="25"/>
                <w:szCs w:val="25"/>
              </w:rPr>
              <w:t>10004666</w:t>
            </w:r>
          </w:p>
        </w:tc>
        <w:tc>
          <w:tcPr>
            <w:tcW w:w="126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493B84" w:rsidRPr="00BB348C" w:rsidRDefault="00493B84" w:rsidP="00897410">
            <w:pPr>
              <w:pStyle w:val="Textoindependiente"/>
              <w:jc w:val="center"/>
              <w:rPr>
                <w:rFonts w:ascii="Garamond" w:hAnsi="Garamond"/>
                <w:i/>
                <w:sz w:val="25"/>
                <w:szCs w:val="25"/>
              </w:rPr>
            </w:pPr>
            <w:r w:rsidRPr="00BB348C">
              <w:rPr>
                <w:rFonts w:ascii="Garamond" w:hAnsi="Garamond"/>
                <w:i/>
                <w:sz w:val="25"/>
                <w:szCs w:val="25"/>
              </w:rPr>
              <w:t>KR 101</w:t>
            </w:r>
          </w:p>
        </w:tc>
        <w:tc>
          <w:tcPr>
            <w:tcW w:w="154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493B84" w:rsidRPr="00BB348C" w:rsidRDefault="00493B84" w:rsidP="00897410">
            <w:pPr>
              <w:pStyle w:val="Textoindependiente"/>
              <w:jc w:val="center"/>
              <w:rPr>
                <w:rFonts w:ascii="Garamond" w:hAnsi="Garamond"/>
                <w:i/>
                <w:sz w:val="25"/>
                <w:szCs w:val="25"/>
              </w:rPr>
            </w:pPr>
            <w:r w:rsidRPr="00BB348C">
              <w:rPr>
                <w:rFonts w:ascii="Garamond" w:hAnsi="Garamond"/>
                <w:i/>
                <w:sz w:val="25"/>
                <w:szCs w:val="25"/>
              </w:rPr>
              <w:t>CL 71 C BIS</w:t>
            </w:r>
          </w:p>
        </w:tc>
        <w:tc>
          <w:tcPr>
            <w:tcW w:w="1273"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493B84" w:rsidRPr="00BB348C" w:rsidRDefault="00493B84" w:rsidP="00897410">
            <w:pPr>
              <w:pStyle w:val="Textoindependiente"/>
              <w:jc w:val="center"/>
              <w:rPr>
                <w:rFonts w:ascii="Garamond" w:hAnsi="Garamond"/>
                <w:i/>
                <w:sz w:val="25"/>
                <w:szCs w:val="25"/>
              </w:rPr>
            </w:pPr>
            <w:r w:rsidRPr="00BB348C">
              <w:rPr>
                <w:rFonts w:ascii="Garamond" w:hAnsi="Garamond"/>
                <w:i/>
                <w:sz w:val="25"/>
                <w:szCs w:val="25"/>
              </w:rPr>
              <w:t>CL 72</w:t>
            </w:r>
          </w:p>
        </w:tc>
        <w:tc>
          <w:tcPr>
            <w:tcW w:w="221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493B84" w:rsidRPr="00BB348C" w:rsidRDefault="00493B84" w:rsidP="00897410">
            <w:pPr>
              <w:pStyle w:val="Textoindependiente"/>
              <w:jc w:val="center"/>
              <w:rPr>
                <w:rFonts w:ascii="Garamond" w:hAnsi="Garamond"/>
                <w:i/>
                <w:sz w:val="25"/>
                <w:szCs w:val="25"/>
              </w:rPr>
            </w:pPr>
            <w:r w:rsidRPr="00BB348C">
              <w:rPr>
                <w:rFonts w:ascii="Garamond" w:hAnsi="Garamond"/>
                <w:i/>
                <w:sz w:val="25"/>
                <w:szCs w:val="25"/>
              </w:rPr>
              <w:t>RECONSTRUCCIÓN</w:t>
            </w:r>
          </w:p>
        </w:tc>
      </w:tr>
      <w:tr w:rsidR="00493B84" w:rsidRPr="00BB348C" w:rsidTr="00BB348C">
        <w:trPr>
          <w:trHeight w:val="274"/>
        </w:trPr>
        <w:tc>
          <w:tcPr>
            <w:tcW w:w="154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493B84" w:rsidRPr="00BB348C" w:rsidRDefault="00493B84" w:rsidP="00897410">
            <w:pPr>
              <w:pStyle w:val="Textoindependiente"/>
              <w:jc w:val="center"/>
              <w:rPr>
                <w:rFonts w:ascii="Garamond" w:hAnsi="Garamond"/>
                <w:i/>
                <w:sz w:val="25"/>
                <w:szCs w:val="25"/>
              </w:rPr>
            </w:pPr>
            <w:r w:rsidRPr="00BB348C">
              <w:rPr>
                <w:rFonts w:ascii="Garamond" w:hAnsi="Garamond"/>
                <w:i/>
                <w:sz w:val="25"/>
                <w:szCs w:val="25"/>
              </w:rPr>
              <w:t>10004791</w:t>
            </w:r>
          </w:p>
        </w:tc>
        <w:tc>
          <w:tcPr>
            <w:tcW w:w="126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493B84" w:rsidRPr="00BB348C" w:rsidRDefault="00493B84" w:rsidP="00897410">
            <w:pPr>
              <w:pStyle w:val="Textoindependiente"/>
              <w:jc w:val="center"/>
              <w:rPr>
                <w:rFonts w:ascii="Garamond" w:hAnsi="Garamond"/>
                <w:i/>
                <w:sz w:val="25"/>
                <w:szCs w:val="25"/>
              </w:rPr>
            </w:pPr>
            <w:r w:rsidRPr="00BB348C">
              <w:rPr>
                <w:rFonts w:ascii="Garamond" w:hAnsi="Garamond"/>
                <w:i/>
                <w:sz w:val="25"/>
                <w:szCs w:val="25"/>
              </w:rPr>
              <w:t>KR 101</w:t>
            </w:r>
          </w:p>
        </w:tc>
        <w:tc>
          <w:tcPr>
            <w:tcW w:w="154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493B84" w:rsidRPr="00BB348C" w:rsidRDefault="00493B84" w:rsidP="00897410">
            <w:pPr>
              <w:pStyle w:val="Textoindependiente"/>
              <w:jc w:val="center"/>
              <w:rPr>
                <w:rFonts w:ascii="Garamond" w:hAnsi="Garamond"/>
                <w:i/>
                <w:sz w:val="25"/>
                <w:szCs w:val="25"/>
              </w:rPr>
            </w:pPr>
            <w:r w:rsidRPr="00BB348C">
              <w:rPr>
                <w:rFonts w:ascii="Garamond" w:hAnsi="Garamond"/>
                <w:i/>
                <w:sz w:val="25"/>
                <w:szCs w:val="25"/>
              </w:rPr>
              <w:t>CL 71 C BIS</w:t>
            </w:r>
          </w:p>
        </w:tc>
        <w:tc>
          <w:tcPr>
            <w:tcW w:w="1273"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493B84" w:rsidRPr="00BB348C" w:rsidRDefault="00493B84" w:rsidP="00897410">
            <w:pPr>
              <w:pStyle w:val="Textoindependiente"/>
              <w:jc w:val="center"/>
              <w:rPr>
                <w:rFonts w:ascii="Garamond" w:hAnsi="Garamond"/>
                <w:i/>
                <w:sz w:val="25"/>
                <w:szCs w:val="25"/>
              </w:rPr>
            </w:pPr>
            <w:r w:rsidRPr="00BB348C">
              <w:rPr>
                <w:rFonts w:ascii="Garamond" w:hAnsi="Garamond"/>
                <w:i/>
                <w:sz w:val="25"/>
                <w:szCs w:val="25"/>
              </w:rPr>
              <w:t>CL 71 B</w:t>
            </w:r>
          </w:p>
        </w:tc>
        <w:tc>
          <w:tcPr>
            <w:tcW w:w="221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493B84" w:rsidRPr="00BB348C" w:rsidRDefault="00493B84" w:rsidP="00897410">
            <w:pPr>
              <w:pStyle w:val="Textoindependiente"/>
              <w:jc w:val="center"/>
              <w:rPr>
                <w:rFonts w:ascii="Garamond" w:hAnsi="Garamond"/>
                <w:i/>
                <w:sz w:val="25"/>
                <w:szCs w:val="25"/>
              </w:rPr>
            </w:pPr>
            <w:r w:rsidRPr="00BB348C">
              <w:rPr>
                <w:rFonts w:ascii="Garamond" w:hAnsi="Garamond"/>
                <w:i/>
                <w:sz w:val="25"/>
                <w:szCs w:val="25"/>
              </w:rPr>
              <w:t>RECONSTRUCCIÓN</w:t>
            </w:r>
          </w:p>
        </w:tc>
      </w:tr>
      <w:tr w:rsidR="00493B84" w:rsidRPr="00BB348C" w:rsidTr="00BB348C">
        <w:trPr>
          <w:trHeight w:val="274"/>
        </w:trPr>
        <w:tc>
          <w:tcPr>
            <w:tcW w:w="154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493B84" w:rsidRPr="00BB348C" w:rsidRDefault="00493B84" w:rsidP="00897410">
            <w:pPr>
              <w:pStyle w:val="Textoindependiente"/>
              <w:jc w:val="center"/>
              <w:rPr>
                <w:rFonts w:ascii="Garamond" w:hAnsi="Garamond"/>
                <w:i/>
                <w:sz w:val="25"/>
                <w:szCs w:val="25"/>
              </w:rPr>
            </w:pPr>
            <w:r w:rsidRPr="00BB348C">
              <w:rPr>
                <w:rFonts w:ascii="Garamond" w:hAnsi="Garamond"/>
                <w:i/>
                <w:sz w:val="25"/>
                <w:szCs w:val="25"/>
              </w:rPr>
              <w:t>10005254</w:t>
            </w:r>
          </w:p>
        </w:tc>
        <w:tc>
          <w:tcPr>
            <w:tcW w:w="126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493B84" w:rsidRPr="00BB348C" w:rsidRDefault="00493B84" w:rsidP="00897410">
            <w:pPr>
              <w:pStyle w:val="Textoindependiente"/>
              <w:jc w:val="center"/>
              <w:rPr>
                <w:rFonts w:ascii="Garamond" w:hAnsi="Garamond"/>
                <w:i/>
                <w:sz w:val="25"/>
                <w:szCs w:val="25"/>
              </w:rPr>
            </w:pPr>
            <w:r w:rsidRPr="00BB348C">
              <w:rPr>
                <w:rFonts w:ascii="Garamond" w:hAnsi="Garamond"/>
                <w:i/>
                <w:sz w:val="25"/>
                <w:szCs w:val="25"/>
              </w:rPr>
              <w:t>KR 101</w:t>
            </w:r>
          </w:p>
        </w:tc>
        <w:tc>
          <w:tcPr>
            <w:tcW w:w="154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493B84" w:rsidRPr="00BB348C" w:rsidRDefault="00493B84" w:rsidP="00897410">
            <w:pPr>
              <w:pStyle w:val="Textoindependiente"/>
              <w:jc w:val="center"/>
              <w:rPr>
                <w:rFonts w:ascii="Garamond" w:hAnsi="Garamond"/>
                <w:i/>
                <w:sz w:val="25"/>
                <w:szCs w:val="25"/>
              </w:rPr>
            </w:pPr>
            <w:r w:rsidRPr="00BB348C">
              <w:rPr>
                <w:rFonts w:ascii="Garamond" w:hAnsi="Garamond"/>
                <w:i/>
                <w:sz w:val="25"/>
                <w:szCs w:val="25"/>
              </w:rPr>
              <w:t>CL 71 B</w:t>
            </w:r>
          </w:p>
        </w:tc>
        <w:tc>
          <w:tcPr>
            <w:tcW w:w="1273"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493B84" w:rsidRPr="00BB348C" w:rsidRDefault="00493B84" w:rsidP="00897410">
            <w:pPr>
              <w:pStyle w:val="Textoindependiente"/>
              <w:jc w:val="center"/>
              <w:rPr>
                <w:rFonts w:ascii="Garamond" w:hAnsi="Garamond"/>
                <w:i/>
                <w:sz w:val="25"/>
                <w:szCs w:val="25"/>
              </w:rPr>
            </w:pPr>
            <w:r w:rsidRPr="00BB348C">
              <w:rPr>
                <w:rFonts w:ascii="Garamond" w:hAnsi="Garamond"/>
                <w:i/>
                <w:sz w:val="25"/>
                <w:szCs w:val="25"/>
              </w:rPr>
              <w:t>CL 70</w:t>
            </w:r>
          </w:p>
        </w:tc>
        <w:tc>
          <w:tcPr>
            <w:tcW w:w="221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493B84" w:rsidRPr="00BB348C" w:rsidRDefault="00493B84" w:rsidP="00897410">
            <w:pPr>
              <w:pStyle w:val="Textoindependiente"/>
              <w:jc w:val="center"/>
              <w:rPr>
                <w:rFonts w:ascii="Garamond" w:hAnsi="Garamond"/>
                <w:i/>
                <w:sz w:val="25"/>
                <w:szCs w:val="25"/>
              </w:rPr>
            </w:pPr>
            <w:r w:rsidRPr="00BB348C">
              <w:rPr>
                <w:rFonts w:ascii="Garamond" w:hAnsi="Garamond"/>
                <w:i/>
                <w:sz w:val="25"/>
                <w:szCs w:val="25"/>
              </w:rPr>
              <w:t>RECONSTRUCCIÓN</w:t>
            </w:r>
          </w:p>
        </w:tc>
      </w:tr>
      <w:tr w:rsidR="00493B84" w:rsidRPr="00BB348C" w:rsidTr="00BB348C">
        <w:trPr>
          <w:trHeight w:val="274"/>
        </w:trPr>
        <w:tc>
          <w:tcPr>
            <w:tcW w:w="154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493B84" w:rsidRPr="00BB348C" w:rsidRDefault="00493B84" w:rsidP="00897410">
            <w:pPr>
              <w:pStyle w:val="Textoindependiente"/>
              <w:jc w:val="center"/>
              <w:rPr>
                <w:rFonts w:ascii="Garamond" w:hAnsi="Garamond"/>
                <w:i/>
                <w:sz w:val="25"/>
                <w:szCs w:val="25"/>
              </w:rPr>
            </w:pPr>
            <w:r w:rsidRPr="00BB348C">
              <w:rPr>
                <w:rFonts w:ascii="Garamond" w:hAnsi="Garamond"/>
                <w:i/>
                <w:sz w:val="25"/>
                <w:szCs w:val="25"/>
              </w:rPr>
              <w:t>10002315</w:t>
            </w:r>
          </w:p>
        </w:tc>
        <w:tc>
          <w:tcPr>
            <w:tcW w:w="126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493B84" w:rsidRPr="00BB348C" w:rsidRDefault="00493B84" w:rsidP="00897410">
            <w:pPr>
              <w:pStyle w:val="Textoindependiente"/>
              <w:jc w:val="center"/>
              <w:rPr>
                <w:rFonts w:ascii="Garamond" w:hAnsi="Garamond"/>
                <w:i/>
                <w:sz w:val="25"/>
                <w:szCs w:val="25"/>
              </w:rPr>
            </w:pPr>
            <w:r w:rsidRPr="00BB348C">
              <w:rPr>
                <w:rFonts w:ascii="Garamond" w:hAnsi="Garamond"/>
                <w:i/>
                <w:sz w:val="25"/>
                <w:szCs w:val="25"/>
              </w:rPr>
              <w:t>CL 78 C</w:t>
            </w:r>
          </w:p>
        </w:tc>
        <w:tc>
          <w:tcPr>
            <w:tcW w:w="154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493B84" w:rsidRPr="00BB348C" w:rsidRDefault="00493B84" w:rsidP="00897410">
            <w:pPr>
              <w:pStyle w:val="Textoindependiente"/>
              <w:jc w:val="center"/>
              <w:rPr>
                <w:rFonts w:ascii="Garamond" w:hAnsi="Garamond"/>
                <w:i/>
                <w:sz w:val="25"/>
                <w:szCs w:val="25"/>
              </w:rPr>
            </w:pPr>
            <w:r w:rsidRPr="00BB348C">
              <w:rPr>
                <w:rFonts w:ascii="Garamond" w:hAnsi="Garamond"/>
                <w:i/>
                <w:sz w:val="25"/>
                <w:szCs w:val="25"/>
              </w:rPr>
              <w:t>KR 102</w:t>
            </w:r>
          </w:p>
        </w:tc>
        <w:tc>
          <w:tcPr>
            <w:tcW w:w="1273"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493B84" w:rsidRPr="00BB348C" w:rsidRDefault="00493B84" w:rsidP="00897410">
            <w:pPr>
              <w:pStyle w:val="Textoindependiente"/>
              <w:jc w:val="center"/>
              <w:rPr>
                <w:rFonts w:ascii="Garamond" w:hAnsi="Garamond"/>
                <w:i/>
                <w:sz w:val="25"/>
                <w:szCs w:val="25"/>
              </w:rPr>
            </w:pPr>
            <w:r w:rsidRPr="00BB348C">
              <w:rPr>
                <w:rFonts w:ascii="Garamond" w:hAnsi="Garamond"/>
                <w:i/>
                <w:sz w:val="25"/>
                <w:szCs w:val="25"/>
              </w:rPr>
              <w:t>KR 103 A</w:t>
            </w:r>
          </w:p>
        </w:tc>
        <w:tc>
          <w:tcPr>
            <w:tcW w:w="221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493B84" w:rsidRPr="00BB348C" w:rsidRDefault="00493B84" w:rsidP="00897410">
            <w:pPr>
              <w:pStyle w:val="Textoindependiente"/>
              <w:jc w:val="center"/>
              <w:rPr>
                <w:rFonts w:ascii="Garamond" w:hAnsi="Garamond"/>
                <w:i/>
                <w:sz w:val="25"/>
                <w:szCs w:val="25"/>
              </w:rPr>
            </w:pPr>
            <w:r w:rsidRPr="00BB348C">
              <w:rPr>
                <w:rFonts w:ascii="Garamond" w:hAnsi="Garamond"/>
                <w:i/>
                <w:sz w:val="25"/>
                <w:szCs w:val="25"/>
              </w:rPr>
              <w:t>RECONSTRUCCIÓN</w:t>
            </w:r>
          </w:p>
        </w:tc>
      </w:tr>
      <w:tr w:rsidR="00493B84" w:rsidRPr="00BB348C" w:rsidTr="00BB348C">
        <w:trPr>
          <w:trHeight w:val="286"/>
        </w:trPr>
        <w:tc>
          <w:tcPr>
            <w:tcW w:w="154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493B84" w:rsidRPr="00BB348C" w:rsidRDefault="00493B84" w:rsidP="00897410">
            <w:pPr>
              <w:pStyle w:val="Textoindependiente"/>
              <w:jc w:val="center"/>
              <w:rPr>
                <w:rFonts w:ascii="Garamond" w:hAnsi="Garamond"/>
                <w:i/>
                <w:sz w:val="25"/>
                <w:szCs w:val="25"/>
              </w:rPr>
            </w:pPr>
            <w:r w:rsidRPr="00BB348C">
              <w:rPr>
                <w:rFonts w:ascii="Garamond" w:hAnsi="Garamond"/>
                <w:i/>
                <w:sz w:val="25"/>
                <w:szCs w:val="25"/>
              </w:rPr>
              <w:t>10001597</w:t>
            </w:r>
          </w:p>
        </w:tc>
        <w:tc>
          <w:tcPr>
            <w:tcW w:w="126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493B84" w:rsidRPr="00BB348C" w:rsidRDefault="00493B84" w:rsidP="00897410">
            <w:pPr>
              <w:pStyle w:val="Textoindependiente"/>
              <w:jc w:val="center"/>
              <w:rPr>
                <w:rFonts w:ascii="Garamond" w:hAnsi="Garamond"/>
                <w:i/>
                <w:sz w:val="25"/>
                <w:szCs w:val="25"/>
              </w:rPr>
            </w:pPr>
            <w:r w:rsidRPr="00BB348C">
              <w:rPr>
                <w:rFonts w:ascii="Garamond" w:hAnsi="Garamond"/>
                <w:i/>
                <w:sz w:val="25"/>
                <w:szCs w:val="25"/>
              </w:rPr>
              <w:t>CL 72 C</w:t>
            </w:r>
          </w:p>
        </w:tc>
        <w:tc>
          <w:tcPr>
            <w:tcW w:w="154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493B84" w:rsidRPr="00BB348C" w:rsidRDefault="00493B84" w:rsidP="00897410">
            <w:pPr>
              <w:pStyle w:val="Textoindependiente"/>
              <w:jc w:val="center"/>
              <w:rPr>
                <w:rFonts w:ascii="Garamond" w:hAnsi="Garamond"/>
                <w:i/>
                <w:sz w:val="25"/>
                <w:szCs w:val="25"/>
              </w:rPr>
            </w:pPr>
            <w:r w:rsidRPr="00BB348C">
              <w:rPr>
                <w:rFonts w:ascii="Garamond" w:hAnsi="Garamond"/>
                <w:i/>
                <w:sz w:val="25"/>
                <w:szCs w:val="25"/>
              </w:rPr>
              <w:t>KR 112 A BIS</w:t>
            </w:r>
          </w:p>
        </w:tc>
        <w:tc>
          <w:tcPr>
            <w:tcW w:w="1273"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493B84" w:rsidRPr="00BB348C" w:rsidRDefault="00493B84" w:rsidP="00897410">
            <w:pPr>
              <w:pStyle w:val="Textoindependiente"/>
              <w:jc w:val="center"/>
              <w:rPr>
                <w:rFonts w:ascii="Garamond" w:hAnsi="Garamond"/>
                <w:i/>
                <w:sz w:val="25"/>
                <w:szCs w:val="25"/>
              </w:rPr>
            </w:pPr>
            <w:r w:rsidRPr="00BB348C">
              <w:rPr>
                <w:rFonts w:ascii="Garamond" w:hAnsi="Garamond"/>
                <w:i/>
                <w:sz w:val="25"/>
                <w:szCs w:val="25"/>
              </w:rPr>
              <w:t>KR 112 C</w:t>
            </w:r>
          </w:p>
        </w:tc>
        <w:tc>
          <w:tcPr>
            <w:tcW w:w="221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493B84" w:rsidRPr="00BB348C" w:rsidRDefault="00493B84" w:rsidP="00897410">
            <w:pPr>
              <w:pStyle w:val="Textoindependiente"/>
              <w:jc w:val="center"/>
              <w:rPr>
                <w:rFonts w:ascii="Garamond" w:hAnsi="Garamond"/>
                <w:i/>
                <w:sz w:val="25"/>
                <w:szCs w:val="25"/>
              </w:rPr>
            </w:pPr>
            <w:r w:rsidRPr="00BB348C">
              <w:rPr>
                <w:rFonts w:ascii="Garamond" w:hAnsi="Garamond"/>
                <w:i/>
                <w:sz w:val="25"/>
                <w:szCs w:val="25"/>
              </w:rPr>
              <w:t>MANTENIMIENTO</w:t>
            </w:r>
          </w:p>
        </w:tc>
      </w:tr>
      <w:tr w:rsidR="00493B84" w:rsidRPr="00BB348C" w:rsidTr="00BB348C">
        <w:trPr>
          <w:trHeight w:val="263"/>
        </w:trPr>
        <w:tc>
          <w:tcPr>
            <w:tcW w:w="154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493B84" w:rsidRPr="00BB348C" w:rsidRDefault="00493B84" w:rsidP="00897410">
            <w:pPr>
              <w:pStyle w:val="Textoindependiente"/>
              <w:jc w:val="center"/>
              <w:rPr>
                <w:rFonts w:ascii="Garamond" w:hAnsi="Garamond"/>
                <w:i/>
                <w:sz w:val="25"/>
                <w:szCs w:val="25"/>
              </w:rPr>
            </w:pPr>
            <w:r w:rsidRPr="00BB348C">
              <w:rPr>
                <w:rFonts w:ascii="Garamond" w:hAnsi="Garamond"/>
                <w:i/>
                <w:sz w:val="25"/>
                <w:szCs w:val="25"/>
              </w:rPr>
              <w:t>10001552</w:t>
            </w:r>
          </w:p>
        </w:tc>
        <w:tc>
          <w:tcPr>
            <w:tcW w:w="126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493B84" w:rsidRPr="00BB348C" w:rsidRDefault="00493B84" w:rsidP="00897410">
            <w:pPr>
              <w:pStyle w:val="Textoindependiente"/>
              <w:jc w:val="center"/>
              <w:rPr>
                <w:rFonts w:ascii="Garamond" w:hAnsi="Garamond"/>
                <w:i/>
                <w:sz w:val="25"/>
                <w:szCs w:val="25"/>
              </w:rPr>
            </w:pPr>
            <w:r w:rsidRPr="00BB348C">
              <w:rPr>
                <w:rFonts w:ascii="Garamond" w:hAnsi="Garamond"/>
                <w:i/>
                <w:sz w:val="25"/>
                <w:szCs w:val="25"/>
              </w:rPr>
              <w:t>CL 72 C</w:t>
            </w:r>
          </w:p>
        </w:tc>
        <w:tc>
          <w:tcPr>
            <w:tcW w:w="154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493B84" w:rsidRPr="00BB348C" w:rsidRDefault="00493B84" w:rsidP="00897410">
            <w:pPr>
              <w:pStyle w:val="Textoindependiente"/>
              <w:jc w:val="center"/>
              <w:rPr>
                <w:rFonts w:ascii="Garamond" w:hAnsi="Garamond"/>
                <w:i/>
                <w:sz w:val="25"/>
                <w:szCs w:val="25"/>
              </w:rPr>
            </w:pPr>
            <w:r w:rsidRPr="00BB348C">
              <w:rPr>
                <w:rFonts w:ascii="Garamond" w:hAnsi="Garamond"/>
                <w:i/>
                <w:sz w:val="25"/>
                <w:szCs w:val="25"/>
              </w:rPr>
              <w:t>KR 112 C</w:t>
            </w:r>
          </w:p>
        </w:tc>
        <w:tc>
          <w:tcPr>
            <w:tcW w:w="1273"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493B84" w:rsidRPr="00BB348C" w:rsidRDefault="00493B84" w:rsidP="00897410">
            <w:pPr>
              <w:pStyle w:val="Textoindependiente"/>
              <w:jc w:val="center"/>
              <w:rPr>
                <w:rFonts w:ascii="Garamond" w:hAnsi="Garamond"/>
                <w:i/>
                <w:sz w:val="25"/>
                <w:szCs w:val="25"/>
              </w:rPr>
            </w:pPr>
            <w:r w:rsidRPr="00BB348C">
              <w:rPr>
                <w:rFonts w:ascii="Garamond" w:hAnsi="Garamond"/>
                <w:i/>
                <w:sz w:val="25"/>
                <w:szCs w:val="25"/>
              </w:rPr>
              <w:t>KR 112 D</w:t>
            </w:r>
          </w:p>
        </w:tc>
        <w:tc>
          <w:tcPr>
            <w:tcW w:w="221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493B84" w:rsidRPr="00BB348C" w:rsidRDefault="00493B84" w:rsidP="00897410">
            <w:pPr>
              <w:pStyle w:val="Textoindependiente"/>
              <w:jc w:val="center"/>
              <w:rPr>
                <w:rFonts w:ascii="Garamond" w:hAnsi="Garamond"/>
                <w:i/>
                <w:sz w:val="25"/>
                <w:szCs w:val="25"/>
              </w:rPr>
            </w:pPr>
            <w:r w:rsidRPr="00BB348C">
              <w:rPr>
                <w:rFonts w:ascii="Garamond" w:hAnsi="Garamond"/>
                <w:i/>
                <w:sz w:val="25"/>
                <w:szCs w:val="25"/>
              </w:rPr>
              <w:t>MANTENIMIENTO</w:t>
            </w:r>
          </w:p>
        </w:tc>
      </w:tr>
    </w:tbl>
    <w:p w:rsidR="00493B84" w:rsidRPr="00BB348C" w:rsidRDefault="00493B84" w:rsidP="00493B84">
      <w:pPr>
        <w:pStyle w:val="Textoindependiente"/>
        <w:ind w:left="1428"/>
        <w:jc w:val="center"/>
        <w:rPr>
          <w:rFonts w:ascii="Garamond" w:hAnsi="Garamond"/>
          <w:i/>
          <w:sz w:val="25"/>
          <w:szCs w:val="25"/>
        </w:rPr>
      </w:pPr>
    </w:p>
    <w:p w:rsidR="00493B84" w:rsidRPr="00BB348C" w:rsidRDefault="00493B84" w:rsidP="00493B84">
      <w:pPr>
        <w:ind w:left="708"/>
        <w:jc w:val="both"/>
        <w:rPr>
          <w:rFonts w:ascii="Garamond" w:hAnsi="Garamond"/>
          <w:i/>
          <w:sz w:val="25"/>
          <w:szCs w:val="25"/>
          <w:lang w:val="es"/>
        </w:rPr>
      </w:pPr>
    </w:p>
    <w:p w:rsidR="00493B84" w:rsidRPr="00BB348C" w:rsidRDefault="00493B84" w:rsidP="00493B84">
      <w:pPr>
        <w:ind w:left="708"/>
        <w:jc w:val="both"/>
        <w:rPr>
          <w:rFonts w:ascii="Garamond" w:hAnsi="Garamond"/>
          <w:i/>
          <w:sz w:val="25"/>
          <w:szCs w:val="25"/>
          <w:lang w:val="es"/>
        </w:rPr>
      </w:pPr>
    </w:p>
    <w:p w:rsidR="00493B84" w:rsidRPr="00BB348C" w:rsidRDefault="00493B84" w:rsidP="00493B84">
      <w:pPr>
        <w:ind w:left="708"/>
        <w:jc w:val="both"/>
        <w:rPr>
          <w:rFonts w:ascii="Garamond" w:hAnsi="Garamond"/>
          <w:i/>
          <w:sz w:val="25"/>
          <w:szCs w:val="25"/>
          <w:lang w:val="es"/>
        </w:rPr>
      </w:pPr>
    </w:p>
    <w:p w:rsidR="00493B84" w:rsidRPr="00BB348C" w:rsidRDefault="00493B84" w:rsidP="00493B84">
      <w:pPr>
        <w:ind w:left="708"/>
        <w:jc w:val="both"/>
        <w:rPr>
          <w:rFonts w:ascii="Garamond" w:hAnsi="Garamond"/>
          <w:i/>
          <w:sz w:val="25"/>
          <w:szCs w:val="25"/>
          <w:lang w:val="es"/>
        </w:rPr>
      </w:pPr>
    </w:p>
    <w:p w:rsidR="00493B84" w:rsidRPr="00BB348C" w:rsidRDefault="00493B84" w:rsidP="00493B84">
      <w:pPr>
        <w:ind w:left="708"/>
        <w:jc w:val="both"/>
        <w:rPr>
          <w:rFonts w:ascii="Garamond" w:hAnsi="Garamond"/>
          <w:i/>
          <w:sz w:val="25"/>
          <w:szCs w:val="25"/>
          <w:lang w:val="es"/>
        </w:rPr>
      </w:pPr>
    </w:p>
    <w:p w:rsidR="00493B84" w:rsidRPr="00BB348C" w:rsidRDefault="00493B84" w:rsidP="00493B84">
      <w:pPr>
        <w:ind w:left="708"/>
        <w:jc w:val="both"/>
        <w:rPr>
          <w:rFonts w:ascii="Garamond" w:hAnsi="Garamond"/>
          <w:i/>
          <w:sz w:val="25"/>
          <w:szCs w:val="25"/>
          <w:lang w:val="es"/>
        </w:rPr>
      </w:pPr>
    </w:p>
    <w:p w:rsidR="00493B84" w:rsidRPr="00BB348C" w:rsidRDefault="00493B84" w:rsidP="00493B84">
      <w:pPr>
        <w:ind w:left="708"/>
        <w:jc w:val="both"/>
        <w:rPr>
          <w:rFonts w:ascii="Garamond" w:hAnsi="Garamond"/>
          <w:i/>
          <w:sz w:val="25"/>
          <w:szCs w:val="25"/>
          <w:lang w:val="es"/>
        </w:rPr>
      </w:pPr>
    </w:p>
    <w:p w:rsidR="00493B84" w:rsidRPr="00BB348C" w:rsidRDefault="00493B84" w:rsidP="00493B84">
      <w:pPr>
        <w:pStyle w:val="Prrafodelista"/>
        <w:widowControl/>
        <w:numPr>
          <w:ilvl w:val="0"/>
          <w:numId w:val="10"/>
        </w:numPr>
        <w:autoSpaceDN/>
        <w:ind w:left="1065"/>
        <w:jc w:val="both"/>
        <w:textAlignment w:val="auto"/>
        <w:rPr>
          <w:rFonts w:ascii="Garamond" w:hAnsi="Garamond"/>
          <w:i/>
          <w:sz w:val="25"/>
          <w:szCs w:val="25"/>
          <w:lang w:val="es"/>
        </w:rPr>
      </w:pPr>
      <w:r w:rsidRPr="00BB348C">
        <w:rPr>
          <w:rFonts w:ascii="Garamond" w:hAnsi="Garamond"/>
          <w:i/>
          <w:sz w:val="25"/>
          <w:szCs w:val="25"/>
          <w:lang w:val="es"/>
        </w:rPr>
        <w:t>Teniendo en cuenta la fecha del Acta de inicio del plazo contractual y que los estudios y diseños en los cuales se basaron para el desarrollo del presupuesto contractual inicial para algunos CIV, habían sido ejecutados bajo el contrato No. 124 de 2014 (liquidado el día 23 de noviembre de 2016), se evidenció una cantidad de tiempo considerable, además de los ejes transcurridos por los CIV en dicho tiempo, hecho por el cual el contratista durante la etapa de reconocimiento, realizó la verificación del diagnóstico especializado para los segmentos viales priorizados, actualizando los estudios y diseños que fueron entregados por el Fondo de Desarrollo Local de Engativá y verificados por los profesionales idóneos. Constatando que las áreas y estructuras de pavimento para los siguientes CIV: 10004666, 10004791 y 10005254, eran mayores a las indicadas en el presupuesto contractual anexo al proceso de licitación publicado.</w:t>
      </w:r>
    </w:p>
    <w:p w:rsidR="00493B84" w:rsidRPr="00BB348C" w:rsidRDefault="00493B84" w:rsidP="00493B84">
      <w:pPr>
        <w:pStyle w:val="Prrafodelista"/>
        <w:ind w:left="1065"/>
        <w:jc w:val="both"/>
        <w:rPr>
          <w:rFonts w:ascii="Garamond" w:hAnsi="Garamond"/>
          <w:i/>
          <w:sz w:val="25"/>
          <w:szCs w:val="25"/>
          <w:lang w:val="es"/>
        </w:rPr>
      </w:pPr>
    </w:p>
    <w:p w:rsidR="00493B84" w:rsidRPr="00BB348C" w:rsidRDefault="00493B84" w:rsidP="00493B84">
      <w:pPr>
        <w:pStyle w:val="Prrafodelista"/>
        <w:ind w:left="1065"/>
        <w:jc w:val="both"/>
        <w:rPr>
          <w:rFonts w:ascii="Garamond" w:hAnsi="Garamond"/>
          <w:i/>
          <w:sz w:val="25"/>
          <w:szCs w:val="25"/>
          <w:lang w:val="es"/>
        </w:rPr>
      </w:pPr>
      <w:r w:rsidRPr="00BB348C">
        <w:rPr>
          <w:rFonts w:ascii="Garamond" w:hAnsi="Garamond"/>
          <w:i/>
          <w:sz w:val="25"/>
          <w:szCs w:val="25"/>
          <w:lang w:val="es"/>
        </w:rPr>
        <w:t>El objetivo de la revisión de las estructuras realizadas por el contratista fue disminuir los espesores, con lo cual el Especialista de Pavimentos responsable del diseño original, emite mediante memorando técnico No. IT-c200.48-003-2017 la propuesta para el mejoramiento de la subrasante con geotextiles, que es revisada por el Fondo de Desarrollo Local de Engativá y la Interventoría, la cual es viabilizada en comité de obra No. 06 del 20 de febrero de 2017. Teniendo en cuenta lo anterior y los recorridos realizados con las Empresas de Servicios Públicos, se ajusta el presupuesto de obra para la intervención de los CIV priorizados.</w:t>
      </w:r>
    </w:p>
    <w:p w:rsidR="00493B84" w:rsidRPr="00BB348C" w:rsidRDefault="00493B84" w:rsidP="00493B84">
      <w:pPr>
        <w:pStyle w:val="Prrafodelista"/>
        <w:ind w:left="1065"/>
        <w:jc w:val="both"/>
        <w:rPr>
          <w:rFonts w:ascii="Garamond" w:hAnsi="Garamond"/>
          <w:i/>
          <w:sz w:val="25"/>
          <w:szCs w:val="25"/>
          <w:lang w:val="es"/>
        </w:rPr>
      </w:pPr>
    </w:p>
    <w:p w:rsidR="00493B84" w:rsidRPr="00BB348C" w:rsidRDefault="00493B84" w:rsidP="00493B84">
      <w:pPr>
        <w:pStyle w:val="Prrafodelista"/>
        <w:ind w:left="1065"/>
        <w:jc w:val="both"/>
        <w:rPr>
          <w:rFonts w:ascii="Garamond" w:hAnsi="Garamond"/>
          <w:i/>
          <w:sz w:val="25"/>
          <w:szCs w:val="25"/>
          <w:lang w:val="es"/>
        </w:rPr>
      </w:pPr>
      <w:r w:rsidRPr="00BB348C">
        <w:rPr>
          <w:rFonts w:ascii="Garamond" w:hAnsi="Garamond"/>
          <w:i/>
          <w:sz w:val="25"/>
          <w:szCs w:val="25"/>
          <w:lang w:val="es"/>
        </w:rPr>
        <w:t>Luego del ajuste del presupuesto final de obra para la ejecución de los CIV, se evidencia la necesidad de sobrepasar las cantidades de obra, tal y como se acuerda en conjunto el Contratista, la Interventoría y la entidad contratante en el comité No. 17 del 19 de mayo de 2017 (Anexo copia del comité).</w:t>
      </w:r>
    </w:p>
    <w:p w:rsidR="00493B84" w:rsidRPr="00BB348C" w:rsidRDefault="00493B84" w:rsidP="00493B84">
      <w:pPr>
        <w:ind w:left="708"/>
        <w:jc w:val="both"/>
        <w:rPr>
          <w:rFonts w:ascii="Garamond" w:hAnsi="Garamond"/>
          <w:i/>
          <w:sz w:val="25"/>
          <w:szCs w:val="25"/>
          <w:lang w:val="es"/>
        </w:rPr>
      </w:pPr>
    </w:p>
    <w:p w:rsidR="00493B84" w:rsidRPr="00BB348C" w:rsidRDefault="00493B84" w:rsidP="00493B84">
      <w:pPr>
        <w:pStyle w:val="Textoindependiente"/>
        <w:numPr>
          <w:ilvl w:val="0"/>
          <w:numId w:val="10"/>
        </w:numPr>
        <w:ind w:left="1065" w:hanging="357"/>
        <w:jc w:val="both"/>
        <w:textAlignment w:val="baseline"/>
        <w:rPr>
          <w:rFonts w:ascii="Garamond" w:hAnsi="Garamond"/>
          <w:i/>
          <w:sz w:val="25"/>
          <w:szCs w:val="25"/>
        </w:rPr>
      </w:pPr>
      <w:r w:rsidRPr="00BB348C">
        <w:rPr>
          <w:rFonts w:ascii="Garamond" w:hAnsi="Garamond"/>
          <w:i/>
          <w:sz w:val="25"/>
          <w:szCs w:val="25"/>
        </w:rPr>
        <w:t xml:space="preserve">Así, tal y como se puede observar en el acta de recibo final de obra, es claro que la construcción o ejecución de esos ítems identificados y cuantificados, reflejados en el acta de mayores y menores cantidades de obra, no obedecen a una iniciativa autónoma del Contratista, por el contrario, fueron de común acuerdo tanto con el Fondo de Desarrollo Local de Engativá y la Interventoría, debido a que las mismas mayores y menores cantidades de obra eran indispensables para la ejecución del objeto contractual. La </w:t>
      </w:r>
      <w:r w:rsidRPr="00BB348C">
        <w:rPr>
          <w:rFonts w:ascii="Garamond" w:hAnsi="Garamond"/>
          <w:i/>
          <w:sz w:val="25"/>
          <w:szCs w:val="25"/>
        </w:rPr>
        <w:lastRenderedPageBreak/>
        <w:t>cuantificación definitiva de dichas cantidades de obra se encuentra detallada y cuantificada en el acta de mayores y menores No. 01 (Anexo copia del acta), avaladas por la Interventoría.</w:t>
      </w:r>
    </w:p>
    <w:p w:rsidR="00493B84" w:rsidRPr="00BB348C" w:rsidRDefault="00493B84" w:rsidP="00493B84">
      <w:pPr>
        <w:pStyle w:val="Textoindependiente"/>
        <w:numPr>
          <w:ilvl w:val="0"/>
          <w:numId w:val="10"/>
        </w:numPr>
        <w:ind w:left="1065" w:hanging="357"/>
        <w:jc w:val="both"/>
        <w:textAlignment w:val="baseline"/>
        <w:rPr>
          <w:rFonts w:ascii="Garamond" w:hAnsi="Garamond"/>
          <w:i/>
          <w:sz w:val="25"/>
          <w:szCs w:val="25"/>
        </w:rPr>
      </w:pPr>
      <w:r w:rsidRPr="00BB348C">
        <w:rPr>
          <w:rFonts w:ascii="Garamond" w:hAnsi="Garamond"/>
          <w:i/>
          <w:sz w:val="25"/>
          <w:szCs w:val="25"/>
        </w:rPr>
        <w:t xml:space="preserve">De conformidad con los antecedentes citados y en el acta de recibo final de obra, suscrita el 24 de julio de 2017, se pudo determinar el balance financiero definitivo, el cual arroja una ejecución total por el valor de $1.836.933.526.00, es decir, tenemos mayores y menores cantidades de obra ejecutadas que dan lugar a incremento, quedando pendiente de pago la suma de $197.665.441.000. Es importante aclarar que el Contrato de Interventoría No. 238 de 2016 no requirió de ninguna adición o prórroga, esto debido a que el plazo contemplado inicialmente por el Contrato de Obra Pública No. 223 de 2016 no afectó la fecha de terminación de obra.  </w:t>
      </w:r>
    </w:p>
    <w:p w:rsidR="00493B84" w:rsidRPr="00BB348C" w:rsidRDefault="00493B84" w:rsidP="00493B84">
      <w:pPr>
        <w:pStyle w:val="Textoindependiente"/>
        <w:numPr>
          <w:ilvl w:val="0"/>
          <w:numId w:val="10"/>
        </w:numPr>
        <w:ind w:left="1065" w:hanging="357"/>
        <w:jc w:val="both"/>
        <w:textAlignment w:val="baseline"/>
        <w:rPr>
          <w:rFonts w:ascii="Garamond" w:hAnsi="Garamond"/>
          <w:i/>
          <w:sz w:val="25"/>
          <w:szCs w:val="25"/>
        </w:rPr>
      </w:pPr>
      <w:r w:rsidRPr="00BB348C">
        <w:rPr>
          <w:rFonts w:ascii="Garamond" w:hAnsi="Garamond"/>
          <w:i/>
          <w:sz w:val="25"/>
          <w:szCs w:val="25"/>
        </w:rPr>
        <w:t>Es claro entonces que, expuestos los argumentos citados, no se ha modificado el objeto contractual y que además hay lugar a reconocer el valor de las mayores y menores cantidades ejecutas en virtud del principio de buena fe aplicable a los contratos de la administración y con el fin de mantener la ecuación económica contractual, acogiendo los criterios jurisprudenciales</w:t>
      </w:r>
      <w:r w:rsidRPr="00BB348C">
        <w:rPr>
          <w:rFonts w:ascii="Garamond" w:hAnsi="Garamond" w:cs="Arial"/>
          <w:i/>
          <w:color w:val="000000"/>
          <w:sz w:val="25"/>
          <w:szCs w:val="25"/>
          <w:lang w:val="es-ES" w:eastAsia="es-CO"/>
        </w:rPr>
        <w:t xml:space="preserve"> trazados por el máximo Tribunal de lo Contencioso Administrativo al resolver casos relacionados con el reconocimiento de mayores y menores cantidades de obra.</w:t>
      </w:r>
      <w:r w:rsidRPr="00BB348C">
        <w:rPr>
          <w:rFonts w:ascii="Garamond" w:hAnsi="Garamond"/>
          <w:i/>
          <w:sz w:val="25"/>
          <w:szCs w:val="25"/>
        </w:rPr>
        <w:t xml:space="preserve"> </w:t>
      </w:r>
    </w:p>
    <w:p w:rsidR="00493B84" w:rsidRPr="00BB348C" w:rsidRDefault="00493B84" w:rsidP="008B03FC">
      <w:pPr>
        <w:pStyle w:val="Standard"/>
        <w:jc w:val="both"/>
        <w:rPr>
          <w:rFonts w:ascii="Garamond" w:hAnsi="Garamond"/>
          <w:sz w:val="25"/>
          <w:szCs w:val="25"/>
        </w:rPr>
      </w:pPr>
    </w:p>
    <w:p w:rsidR="008B03FC" w:rsidRPr="00BB348C" w:rsidRDefault="008B03FC" w:rsidP="008B03FC">
      <w:pPr>
        <w:pStyle w:val="Standard"/>
        <w:jc w:val="both"/>
        <w:rPr>
          <w:rFonts w:ascii="Garamond" w:hAnsi="Garamond"/>
          <w:sz w:val="25"/>
          <w:szCs w:val="25"/>
        </w:rPr>
      </w:pPr>
      <w:r w:rsidRPr="00BB348C">
        <w:rPr>
          <w:rFonts w:ascii="Garamond" w:hAnsi="Garamond"/>
          <w:sz w:val="25"/>
          <w:szCs w:val="25"/>
        </w:rPr>
        <w:t xml:space="preserve">Sobre el particular, la jurisprudencia contencioso administrativa ha sido reiterada y constante frente a los eventos en que procedería el reconocimiento y pago de las mayores cantidades de obra, siendo de suma importancia traer a colación para el caso objeto de análisis, entre otras la sentencia del 29 de septiembre de 2011, proferida por la Subsección B de la Sección Tercera de la Sala de lo Contencioso Administrativo del Consejo de Estado en donde precisó lo siguiente: </w:t>
      </w:r>
    </w:p>
    <w:p w:rsidR="008B03FC" w:rsidRPr="00BB348C" w:rsidRDefault="008B03FC" w:rsidP="008B03FC">
      <w:pPr>
        <w:pStyle w:val="Normal1"/>
        <w:spacing w:line="276" w:lineRule="auto"/>
        <w:ind w:left="851" w:right="49"/>
        <w:jc w:val="both"/>
        <w:rPr>
          <w:rFonts w:ascii="Garamond" w:eastAsia="Arial" w:hAnsi="Garamond" w:cs="Arial"/>
          <w:i/>
          <w:sz w:val="25"/>
          <w:szCs w:val="25"/>
        </w:rPr>
      </w:pPr>
    </w:p>
    <w:p w:rsidR="008B03FC" w:rsidRPr="00BB348C" w:rsidRDefault="008B03FC" w:rsidP="008B03FC">
      <w:pPr>
        <w:pStyle w:val="Normal1"/>
        <w:spacing w:line="276" w:lineRule="auto"/>
        <w:ind w:left="851" w:right="49"/>
        <w:jc w:val="both"/>
        <w:rPr>
          <w:rFonts w:ascii="Garamond" w:eastAsia="Arial" w:hAnsi="Garamond" w:cs="Arial"/>
          <w:i/>
          <w:sz w:val="25"/>
          <w:szCs w:val="25"/>
        </w:rPr>
      </w:pPr>
      <w:r w:rsidRPr="00BB348C">
        <w:rPr>
          <w:rFonts w:ascii="Garamond" w:eastAsia="Arial" w:hAnsi="Garamond" w:cs="Arial"/>
          <w:i/>
          <w:sz w:val="25"/>
          <w:szCs w:val="25"/>
        </w:rPr>
        <w:t>“(…)</w:t>
      </w:r>
    </w:p>
    <w:p w:rsidR="008B03FC" w:rsidRPr="00BB348C" w:rsidRDefault="008B03FC" w:rsidP="008B03FC">
      <w:pPr>
        <w:pStyle w:val="Normal1"/>
        <w:spacing w:line="276" w:lineRule="auto"/>
        <w:ind w:left="851" w:right="49"/>
        <w:jc w:val="both"/>
        <w:rPr>
          <w:rFonts w:ascii="Garamond" w:eastAsia="Arial" w:hAnsi="Garamond" w:cs="Arial"/>
          <w:i/>
          <w:sz w:val="25"/>
          <w:szCs w:val="25"/>
        </w:rPr>
      </w:pPr>
    </w:p>
    <w:p w:rsidR="008B03FC" w:rsidRPr="00BB348C" w:rsidRDefault="008B03FC" w:rsidP="008B03FC">
      <w:pPr>
        <w:pStyle w:val="Normal1"/>
        <w:spacing w:line="276" w:lineRule="auto"/>
        <w:ind w:left="851" w:right="49"/>
        <w:jc w:val="both"/>
        <w:rPr>
          <w:rFonts w:ascii="Garamond" w:eastAsia="Arial" w:hAnsi="Garamond" w:cs="Arial"/>
          <w:i/>
          <w:sz w:val="25"/>
          <w:szCs w:val="25"/>
        </w:rPr>
      </w:pPr>
    </w:p>
    <w:p w:rsidR="008B03FC" w:rsidRPr="00BB348C" w:rsidRDefault="008B03FC" w:rsidP="008B03FC">
      <w:pPr>
        <w:pStyle w:val="Normal1"/>
        <w:spacing w:line="276" w:lineRule="auto"/>
        <w:ind w:left="851" w:right="49"/>
        <w:jc w:val="both"/>
        <w:rPr>
          <w:rFonts w:ascii="Garamond" w:eastAsia="Arial" w:hAnsi="Garamond" w:cs="Arial"/>
          <w:i/>
          <w:sz w:val="25"/>
          <w:szCs w:val="25"/>
        </w:rPr>
      </w:pPr>
      <w:r w:rsidRPr="00BB348C">
        <w:rPr>
          <w:rFonts w:ascii="Garamond" w:eastAsia="Arial" w:hAnsi="Garamond" w:cs="Arial"/>
          <w:i/>
          <w:sz w:val="25"/>
          <w:szCs w:val="25"/>
        </w:rPr>
        <w:t>…en los contratos de obra suscritos a precios unitarios, la mayor cantidad de obra ejecutada supone que ésta fue contratada pero que su estimativa inicial fue sobrepasada durante la ejecución del contrato, surgiendo así una "prolongación de la prestación debida", sin que ello implique modificación alguna al objeto contractual.</w:t>
      </w:r>
    </w:p>
    <w:p w:rsidR="008B03FC" w:rsidRPr="00BB348C" w:rsidRDefault="008B03FC" w:rsidP="008B03FC">
      <w:pPr>
        <w:pStyle w:val="Normal1"/>
        <w:spacing w:line="276" w:lineRule="auto"/>
        <w:ind w:left="851" w:right="49"/>
        <w:jc w:val="both"/>
        <w:rPr>
          <w:rFonts w:ascii="Garamond" w:eastAsia="Arial" w:hAnsi="Garamond" w:cs="Arial"/>
          <w:i/>
          <w:sz w:val="25"/>
          <w:szCs w:val="25"/>
        </w:rPr>
      </w:pPr>
    </w:p>
    <w:p w:rsidR="008B03FC" w:rsidRPr="00BB348C" w:rsidRDefault="008B03FC" w:rsidP="008B03FC">
      <w:pPr>
        <w:pStyle w:val="Normal1"/>
        <w:spacing w:line="276" w:lineRule="auto"/>
        <w:ind w:left="851" w:right="49"/>
        <w:jc w:val="both"/>
        <w:rPr>
          <w:rFonts w:ascii="Garamond" w:eastAsia="Arial" w:hAnsi="Garamond" w:cs="Arial"/>
          <w:b/>
          <w:i/>
          <w:sz w:val="25"/>
          <w:szCs w:val="25"/>
          <w:u w:val="single"/>
        </w:rPr>
      </w:pPr>
      <w:r w:rsidRPr="00BB348C">
        <w:rPr>
          <w:rFonts w:ascii="Garamond" w:eastAsia="Arial" w:hAnsi="Garamond" w:cs="Arial"/>
          <w:i/>
          <w:sz w:val="25"/>
          <w:szCs w:val="25"/>
        </w:rPr>
        <w:t>SI PERO AL PACTAR MAYOR SE REMUNERA COMPLETA.</w:t>
      </w:r>
      <w:r w:rsidRPr="00BB348C">
        <w:rPr>
          <w:rFonts w:ascii="Garamond" w:eastAsia="Arial" w:hAnsi="Garamond" w:cs="Arial"/>
          <w:b/>
          <w:i/>
          <w:sz w:val="25"/>
          <w:szCs w:val="25"/>
          <w:u w:val="single"/>
        </w:rPr>
        <w:t xml:space="preserve"> </w:t>
      </w:r>
    </w:p>
    <w:p w:rsidR="008B03FC" w:rsidRPr="00BB348C" w:rsidRDefault="008B03FC" w:rsidP="008B03FC">
      <w:pPr>
        <w:pStyle w:val="Normal1"/>
        <w:spacing w:line="276" w:lineRule="auto"/>
        <w:ind w:left="851" w:right="49"/>
        <w:jc w:val="both"/>
        <w:rPr>
          <w:rFonts w:ascii="Garamond" w:eastAsia="Arial" w:hAnsi="Garamond" w:cs="Arial"/>
          <w:i/>
          <w:sz w:val="25"/>
          <w:szCs w:val="25"/>
        </w:rPr>
      </w:pPr>
    </w:p>
    <w:p w:rsidR="008B03FC" w:rsidRPr="00BB348C" w:rsidRDefault="008B03FC" w:rsidP="008B03FC">
      <w:pPr>
        <w:pStyle w:val="Normal1"/>
        <w:spacing w:line="276" w:lineRule="auto"/>
        <w:ind w:left="851" w:right="49"/>
        <w:jc w:val="both"/>
        <w:rPr>
          <w:rFonts w:ascii="Garamond" w:eastAsia="Arial" w:hAnsi="Garamond" w:cs="Arial"/>
          <w:i/>
          <w:sz w:val="25"/>
          <w:szCs w:val="25"/>
        </w:rPr>
      </w:pPr>
      <w:r w:rsidRPr="00BB348C">
        <w:rPr>
          <w:rFonts w:ascii="Garamond" w:eastAsia="Arial" w:hAnsi="Garamond" w:cs="Arial"/>
          <w:i/>
          <w:sz w:val="25"/>
          <w:szCs w:val="25"/>
        </w:rPr>
        <w:t>Esta situación justifica que en determinados casos se celebren contratos adicionales, o que, si esto no ocurre, se restablezca la ecuación contractual ya sea al momento de liquidar el contrato, o a través de la acción judicial correspondiente, a condición, claro está, de que si el contrato fue liquidado por las partes de común acuerdo, el contratista se haya reservado el derecho a reclamar por ello.</w:t>
      </w:r>
    </w:p>
    <w:p w:rsidR="008B03FC" w:rsidRPr="00BB348C" w:rsidRDefault="008B03FC" w:rsidP="008B03FC">
      <w:pPr>
        <w:pStyle w:val="Normal1"/>
        <w:spacing w:line="276" w:lineRule="auto"/>
        <w:ind w:left="851" w:right="49"/>
        <w:jc w:val="both"/>
        <w:rPr>
          <w:rFonts w:ascii="Garamond" w:eastAsia="Arial" w:hAnsi="Garamond" w:cs="Arial"/>
          <w:i/>
          <w:sz w:val="25"/>
          <w:szCs w:val="25"/>
        </w:rPr>
      </w:pPr>
    </w:p>
    <w:p w:rsidR="008B03FC" w:rsidRPr="00BB348C" w:rsidRDefault="008B03FC" w:rsidP="008B03FC">
      <w:pPr>
        <w:pStyle w:val="Normal1"/>
        <w:spacing w:line="276" w:lineRule="auto"/>
        <w:ind w:left="851" w:right="49"/>
        <w:jc w:val="both"/>
        <w:rPr>
          <w:rFonts w:ascii="Garamond" w:eastAsia="Arial" w:hAnsi="Garamond" w:cs="Arial"/>
          <w:i/>
          <w:sz w:val="25"/>
          <w:szCs w:val="25"/>
        </w:rPr>
      </w:pPr>
      <w:r w:rsidRPr="00BB348C">
        <w:rPr>
          <w:rFonts w:ascii="Garamond" w:eastAsia="Arial" w:hAnsi="Garamond" w:cs="Arial"/>
          <w:i/>
          <w:sz w:val="25"/>
          <w:szCs w:val="25"/>
        </w:rPr>
        <w:t xml:space="preserve">En cambio, la realización de obras adicionales supone que éstas no fueron parte del objeto del contrato </w:t>
      </w:r>
      <w:r w:rsidRPr="00BB348C">
        <w:rPr>
          <w:rFonts w:ascii="Garamond" w:eastAsia="Arial" w:hAnsi="Garamond" w:cs="Arial"/>
          <w:i/>
          <w:sz w:val="25"/>
          <w:szCs w:val="25"/>
        </w:rPr>
        <w:lastRenderedPageBreak/>
        <w:t>principal, y por lo tanto implican una variación del mismo; se trata entonces de obras nuevas, distintas de las contratadas, o de ítems no previstos, pero que su ejecución, en determinadas circunstancias resulta necesaria...</w:t>
      </w:r>
      <w:r w:rsidRPr="00BB348C">
        <w:rPr>
          <w:rFonts w:ascii="Garamond" w:eastAsia="Arial" w:hAnsi="Garamond" w:cs="Arial"/>
          <w:i/>
          <w:sz w:val="25"/>
          <w:szCs w:val="25"/>
          <w:vertAlign w:val="superscript"/>
        </w:rPr>
        <w:t>6</w:t>
      </w:r>
    </w:p>
    <w:p w:rsidR="008B03FC" w:rsidRPr="00BB348C" w:rsidRDefault="008B03FC" w:rsidP="008B03FC">
      <w:pPr>
        <w:pStyle w:val="Normal1"/>
        <w:spacing w:line="276" w:lineRule="auto"/>
        <w:ind w:left="851" w:right="49"/>
        <w:jc w:val="both"/>
        <w:rPr>
          <w:rFonts w:ascii="Garamond" w:eastAsia="Arial" w:hAnsi="Garamond" w:cs="Arial"/>
          <w:i/>
          <w:sz w:val="25"/>
          <w:szCs w:val="25"/>
        </w:rPr>
      </w:pPr>
    </w:p>
    <w:p w:rsidR="008B03FC" w:rsidRPr="00BB348C" w:rsidRDefault="008B03FC" w:rsidP="008B03FC">
      <w:pPr>
        <w:pStyle w:val="Normal1"/>
        <w:spacing w:line="276" w:lineRule="auto"/>
        <w:ind w:left="851" w:right="49"/>
        <w:jc w:val="both"/>
        <w:rPr>
          <w:rFonts w:ascii="Garamond" w:eastAsia="Arial" w:hAnsi="Garamond" w:cs="Arial"/>
          <w:b/>
          <w:i/>
          <w:sz w:val="25"/>
          <w:szCs w:val="25"/>
          <w:u w:val="single"/>
        </w:rPr>
      </w:pPr>
      <w:r w:rsidRPr="00BB348C">
        <w:rPr>
          <w:rFonts w:ascii="Garamond" w:eastAsia="Arial" w:hAnsi="Garamond" w:cs="Arial"/>
          <w:b/>
          <w:i/>
          <w:sz w:val="25"/>
          <w:szCs w:val="25"/>
          <w:u w:val="single"/>
        </w:rPr>
        <w:t>12.2 De acuerdo con lo anterior, los ítems no previstos u obras adicionales implican una modificación del objeto contractual en relación con lo que inicialmente se había pactado, la cual deben ser acordada con mayor detalle y explicitación que las mayores cantidades de obra, puesto que éstas últimas sólo representan un número de superior de prestaciones sobre un concepto que había sido convenido desde la iniciación misma del contrato.</w:t>
      </w:r>
    </w:p>
    <w:p w:rsidR="008B03FC" w:rsidRPr="00BB348C" w:rsidRDefault="008B03FC" w:rsidP="008B03FC">
      <w:pPr>
        <w:pStyle w:val="Normal1"/>
        <w:spacing w:line="276" w:lineRule="auto"/>
        <w:ind w:left="851" w:right="49"/>
        <w:jc w:val="both"/>
        <w:rPr>
          <w:rFonts w:ascii="Garamond" w:eastAsia="Arial" w:hAnsi="Garamond" w:cs="Arial"/>
          <w:i/>
          <w:sz w:val="25"/>
          <w:szCs w:val="25"/>
        </w:rPr>
      </w:pPr>
    </w:p>
    <w:p w:rsidR="008B03FC" w:rsidRPr="00BB348C" w:rsidRDefault="008B03FC" w:rsidP="008B03FC">
      <w:pPr>
        <w:pStyle w:val="Normal1"/>
        <w:spacing w:line="276" w:lineRule="auto"/>
        <w:ind w:left="851" w:right="49"/>
        <w:jc w:val="both"/>
        <w:rPr>
          <w:rFonts w:ascii="Garamond" w:eastAsia="Arial" w:hAnsi="Garamond" w:cs="Arial"/>
          <w:i/>
          <w:sz w:val="25"/>
          <w:szCs w:val="25"/>
        </w:rPr>
      </w:pPr>
      <w:r w:rsidRPr="00BB348C">
        <w:rPr>
          <w:rFonts w:ascii="Garamond" w:eastAsia="Arial" w:hAnsi="Garamond" w:cs="Arial"/>
          <w:i/>
          <w:sz w:val="25"/>
          <w:szCs w:val="25"/>
        </w:rPr>
        <w:t>13 En relación con los ítems no previstos, de conformidad con la anterior relación de pruebas -párrafo 11-, se aprecia que el contratista procuró de manera diligente que la entidad aprobara la construcción de tales obras, puesto que lo solicitó oportunamente y por escrito y obtuvo, como respuesta, la comunicación escrita del interventor, a través de la cual afirmaba que la entidad territorial había impartido la aprobación. También se aprecia que fueron suscritas por parte del contratista, el interventor y el gerente de la obra, el "ACTA DE FIJACIÓN DE PRECIOS NO PREVISTOS E INCORPORACIÓN DE NUEVOS ÍTEM" y las actas de recibo de obra No 1 y n.°2, en las que se daba cuenta de las obras adicionales, suscritas por el.</w:t>
      </w:r>
    </w:p>
    <w:p w:rsidR="008B03FC" w:rsidRPr="00BB348C" w:rsidRDefault="008B03FC" w:rsidP="008B03FC">
      <w:pPr>
        <w:pStyle w:val="Normal1"/>
        <w:spacing w:line="276" w:lineRule="auto"/>
        <w:ind w:left="851" w:right="49"/>
        <w:jc w:val="both"/>
        <w:rPr>
          <w:rFonts w:ascii="Garamond" w:eastAsia="Arial" w:hAnsi="Garamond" w:cs="Arial"/>
          <w:i/>
          <w:sz w:val="25"/>
          <w:szCs w:val="25"/>
        </w:rPr>
      </w:pPr>
    </w:p>
    <w:p w:rsidR="008B03FC" w:rsidRPr="00BB348C" w:rsidRDefault="008B03FC" w:rsidP="008B03FC">
      <w:pPr>
        <w:pStyle w:val="Normal1"/>
        <w:spacing w:line="276" w:lineRule="auto"/>
        <w:ind w:left="851" w:right="49"/>
        <w:jc w:val="both"/>
        <w:rPr>
          <w:rFonts w:ascii="Garamond" w:eastAsia="Arial" w:hAnsi="Garamond" w:cs="Arial"/>
          <w:i/>
          <w:sz w:val="25"/>
          <w:szCs w:val="25"/>
        </w:rPr>
      </w:pPr>
      <w:r w:rsidRPr="00BB348C">
        <w:rPr>
          <w:rFonts w:ascii="Garamond" w:eastAsia="Arial" w:hAnsi="Garamond" w:cs="Arial"/>
          <w:i/>
          <w:sz w:val="25"/>
          <w:szCs w:val="25"/>
        </w:rPr>
        <w:t>14 A este respecto es importante considerar que las actas no aparecen suscritas por el alcalde, lo cual es propuesto por la entidad en el recurso de apelación como demostración de que no fueron autorizadas por el municipio; afirma la entidad territorial que el interventor no tenía facultad alguna para obligarla, puesto que no era siquiera un funcionario susceptible de delegación por parte del alcalde. La Sala aprecia que la afirmación de la demandada encuentra fundamento en los artículos 11</w:t>
      </w:r>
      <w:r w:rsidRPr="00BB348C">
        <w:rPr>
          <w:rFonts w:ascii="Garamond" w:eastAsia="Arial" w:hAnsi="Garamond" w:cs="Arial"/>
          <w:i/>
          <w:sz w:val="25"/>
          <w:szCs w:val="25"/>
          <w:vertAlign w:val="superscript"/>
        </w:rPr>
        <w:t>7</w:t>
      </w:r>
      <w:r w:rsidRPr="00BB348C">
        <w:rPr>
          <w:rFonts w:ascii="Garamond" w:eastAsia="Arial" w:hAnsi="Garamond" w:cs="Arial"/>
          <w:i/>
          <w:sz w:val="25"/>
          <w:szCs w:val="25"/>
        </w:rPr>
        <w:t>y 12</w:t>
      </w:r>
      <w:r w:rsidRPr="00BB348C">
        <w:rPr>
          <w:rFonts w:ascii="Garamond" w:eastAsia="Arial" w:hAnsi="Garamond" w:cs="Arial"/>
          <w:i/>
          <w:sz w:val="25"/>
          <w:szCs w:val="25"/>
          <w:vertAlign w:val="superscript"/>
        </w:rPr>
        <w:t xml:space="preserve">8 </w:t>
      </w:r>
      <w:r w:rsidRPr="00BB348C">
        <w:rPr>
          <w:rFonts w:ascii="Garamond" w:eastAsia="Arial" w:hAnsi="Garamond" w:cs="Arial"/>
          <w:i/>
          <w:sz w:val="25"/>
          <w:szCs w:val="25"/>
        </w:rPr>
        <w:t>de la Ley 80 de 1993, 37 del Decreto 2150 de 1995</w:t>
      </w:r>
      <w:r w:rsidRPr="00BB348C">
        <w:rPr>
          <w:rFonts w:ascii="Garamond" w:eastAsia="Arial" w:hAnsi="Garamond" w:cs="Arial"/>
          <w:i/>
          <w:sz w:val="25"/>
          <w:szCs w:val="25"/>
          <w:vertAlign w:val="superscript"/>
        </w:rPr>
        <w:t xml:space="preserve">9 </w:t>
      </w:r>
      <w:r w:rsidRPr="00BB348C">
        <w:rPr>
          <w:rFonts w:ascii="Garamond" w:eastAsia="Arial" w:hAnsi="Garamond" w:cs="Arial"/>
          <w:i/>
          <w:sz w:val="25"/>
          <w:szCs w:val="25"/>
        </w:rPr>
        <w:t>y en pronunciamientos de la Sala, a través de los cuales ha concluido que cuando el interventor avala obras que no habían sido autorizadas por la entidad, no es procedente su pago</w:t>
      </w:r>
      <w:r w:rsidRPr="00BB348C">
        <w:rPr>
          <w:rFonts w:ascii="Garamond" w:eastAsia="Arial" w:hAnsi="Garamond" w:cs="Arial"/>
          <w:i/>
          <w:sz w:val="25"/>
          <w:szCs w:val="25"/>
          <w:vertAlign w:val="superscript"/>
        </w:rPr>
        <w:t>10</w:t>
      </w:r>
      <w:r w:rsidRPr="00BB348C">
        <w:rPr>
          <w:rFonts w:ascii="Garamond" w:eastAsia="Arial" w:hAnsi="Garamond" w:cs="Arial"/>
          <w:i/>
          <w:sz w:val="25"/>
          <w:szCs w:val="25"/>
        </w:rPr>
        <w:t xml:space="preserve">. </w:t>
      </w:r>
    </w:p>
    <w:p w:rsidR="008B03FC" w:rsidRPr="00BB348C" w:rsidRDefault="008B03FC" w:rsidP="008B03FC">
      <w:pPr>
        <w:pStyle w:val="Normal1"/>
        <w:spacing w:line="276" w:lineRule="auto"/>
        <w:ind w:left="851" w:right="49"/>
        <w:jc w:val="both"/>
        <w:rPr>
          <w:rFonts w:ascii="Garamond" w:eastAsia="Arial" w:hAnsi="Garamond" w:cs="Arial"/>
          <w:i/>
          <w:sz w:val="25"/>
          <w:szCs w:val="25"/>
        </w:rPr>
      </w:pPr>
    </w:p>
    <w:p w:rsidR="008B03FC" w:rsidRPr="00BB348C" w:rsidRDefault="008B03FC" w:rsidP="008B03FC">
      <w:pPr>
        <w:pStyle w:val="Normal1"/>
        <w:spacing w:line="276" w:lineRule="auto"/>
        <w:ind w:left="851" w:right="49"/>
        <w:jc w:val="both"/>
        <w:rPr>
          <w:rFonts w:ascii="Garamond" w:eastAsia="Arial" w:hAnsi="Garamond" w:cs="Arial"/>
          <w:i/>
          <w:sz w:val="25"/>
          <w:szCs w:val="25"/>
        </w:rPr>
      </w:pPr>
      <w:r w:rsidRPr="00BB348C">
        <w:rPr>
          <w:rFonts w:ascii="Garamond" w:eastAsia="Arial" w:hAnsi="Garamond" w:cs="Arial"/>
          <w:i/>
          <w:sz w:val="25"/>
          <w:szCs w:val="25"/>
        </w:rPr>
        <w:t>En relación con la actuación del señor Cruz, quien suscribió los documentos bajo el título de "gerente del proyecto", la Sala observa que no obra documento de delegación a favor de este funcionario para la modificación del contrato</w:t>
      </w:r>
      <w:r w:rsidRPr="00BB348C">
        <w:rPr>
          <w:rFonts w:ascii="Garamond" w:eastAsia="Arial" w:hAnsi="Garamond" w:cs="Arial"/>
          <w:i/>
          <w:sz w:val="25"/>
          <w:szCs w:val="25"/>
          <w:vertAlign w:val="superscript"/>
        </w:rPr>
        <w:t>11</w:t>
      </w:r>
      <w:r w:rsidRPr="00BB348C">
        <w:rPr>
          <w:rFonts w:ascii="Garamond" w:eastAsia="Arial" w:hAnsi="Garamond" w:cs="Arial"/>
          <w:i/>
          <w:sz w:val="25"/>
          <w:szCs w:val="25"/>
        </w:rPr>
        <w:t>.</w:t>
      </w:r>
    </w:p>
    <w:p w:rsidR="008B03FC" w:rsidRPr="00BB348C" w:rsidRDefault="008B03FC" w:rsidP="008B03FC">
      <w:pPr>
        <w:pStyle w:val="Normal1"/>
        <w:spacing w:line="276" w:lineRule="auto"/>
        <w:ind w:left="851" w:right="49"/>
        <w:jc w:val="both"/>
        <w:rPr>
          <w:rFonts w:ascii="Garamond" w:eastAsia="Arial" w:hAnsi="Garamond" w:cs="Arial"/>
          <w:i/>
          <w:sz w:val="25"/>
          <w:szCs w:val="25"/>
        </w:rPr>
      </w:pPr>
    </w:p>
    <w:p w:rsidR="008B03FC" w:rsidRPr="00BB348C" w:rsidRDefault="008B03FC" w:rsidP="008B03FC">
      <w:pPr>
        <w:pStyle w:val="Normal1"/>
        <w:spacing w:line="276" w:lineRule="auto"/>
        <w:ind w:left="851" w:right="49"/>
        <w:jc w:val="both"/>
        <w:rPr>
          <w:rFonts w:ascii="Garamond" w:eastAsia="Arial" w:hAnsi="Garamond" w:cs="Arial"/>
          <w:b/>
          <w:i/>
          <w:sz w:val="25"/>
          <w:szCs w:val="25"/>
          <w:u w:val="single"/>
        </w:rPr>
      </w:pPr>
      <w:r w:rsidRPr="00BB348C">
        <w:rPr>
          <w:rFonts w:ascii="Garamond" w:eastAsia="Arial" w:hAnsi="Garamond" w:cs="Arial"/>
          <w:b/>
          <w:i/>
          <w:sz w:val="25"/>
          <w:szCs w:val="25"/>
          <w:u w:val="single"/>
        </w:rPr>
        <w:t xml:space="preserve">15 No obstante y sin que la Sala concluya que la actuación del interventor, ni la del gerente de la obra, obligan a la entidad, en el caso concreto, sobre la base de la buena fe, generadora de obligaciones, la Sala se anticipa a señalar que las obras </w:t>
      </w:r>
      <w:r w:rsidRPr="00BB348C">
        <w:rPr>
          <w:rFonts w:ascii="Garamond" w:eastAsia="Arial" w:hAnsi="Garamond" w:cs="Arial"/>
          <w:b/>
          <w:i/>
          <w:sz w:val="25"/>
          <w:szCs w:val="25"/>
          <w:u w:val="single"/>
        </w:rPr>
        <w:lastRenderedPageBreak/>
        <w:t>adicionales y las mayores cantidades de obra deben ser reconocidas y pagadas por la entidad.</w:t>
      </w:r>
    </w:p>
    <w:p w:rsidR="008B03FC" w:rsidRPr="00BB348C" w:rsidRDefault="008B03FC" w:rsidP="008B03FC">
      <w:pPr>
        <w:pStyle w:val="Normal1"/>
        <w:spacing w:line="276" w:lineRule="auto"/>
        <w:ind w:left="851" w:right="49"/>
        <w:jc w:val="both"/>
        <w:rPr>
          <w:rFonts w:ascii="Garamond" w:eastAsia="Arial" w:hAnsi="Garamond" w:cs="Arial"/>
          <w:i/>
          <w:sz w:val="25"/>
          <w:szCs w:val="25"/>
        </w:rPr>
      </w:pPr>
    </w:p>
    <w:p w:rsidR="008B03FC" w:rsidRPr="00BB348C" w:rsidRDefault="008B03FC" w:rsidP="008B03FC">
      <w:pPr>
        <w:pStyle w:val="Normal1"/>
        <w:spacing w:line="276" w:lineRule="auto"/>
        <w:ind w:left="851" w:right="49"/>
        <w:jc w:val="both"/>
        <w:rPr>
          <w:rFonts w:ascii="Garamond" w:eastAsia="Arial" w:hAnsi="Garamond" w:cs="Arial"/>
          <w:i/>
          <w:sz w:val="25"/>
          <w:szCs w:val="25"/>
        </w:rPr>
      </w:pPr>
      <w:r w:rsidRPr="00BB348C">
        <w:rPr>
          <w:rFonts w:ascii="Garamond" w:eastAsia="Arial" w:hAnsi="Garamond" w:cs="Arial"/>
          <w:i/>
          <w:sz w:val="25"/>
          <w:szCs w:val="25"/>
        </w:rPr>
        <w:t>15.1 El principio de la buena fe se incorpora en los contratos estatales en virtud del precepto constitucional que causa efectos en la integridad del sistema jurídico colombiano</w:t>
      </w:r>
      <w:r w:rsidRPr="00BB348C">
        <w:rPr>
          <w:rFonts w:ascii="Garamond" w:eastAsia="Arial" w:hAnsi="Garamond" w:cs="Arial"/>
          <w:i/>
          <w:sz w:val="25"/>
          <w:szCs w:val="25"/>
          <w:vertAlign w:val="superscript"/>
        </w:rPr>
        <w:t>12</w:t>
      </w:r>
      <w:r w:rsidRPr="00BB348C">
        <w:rPr>
          <w:rFonts w:ascii="Garamond" w:eastAsia="Arial" w:hAnsi="Garamond" w:cs="Arial"/>
          <w:i/>
          <w:sz w:val="25"/>
          <w:szCs w:val="25"/>
        </w:rPr>
        <w:t>, y de diferentes artículos de la Ley 80 de 1993, en los cuales se menciona directamente</w:t>
      </w:r>
      <w:r w:rsidRPr="00BB348C">
        <w:rPr>
          <w:rFonts w:ascii="Garamond" w:eastAsia="Arial" w:hAnsi="Garamond" w:cs="Arial"/>
          <w:i/>
          <w:sz w:val="25"/>
          <w:szCs w:val="25"/>
          <w:vertAlign w:val="superscript"/>
        </w:rPr>
        <w:t>13</w:t>
      </w:r>
      <w:r w:rsidRPr="00BB348C">
        <w:rPr>
          <w:rFonts w:ascii="Garamond" w:eastAsia="Arial" w:hAnsi="Garamond" w:cs="Arial"/>
          <w:i/>
          <w:sz w:val="25"/>
          <w:szCs w:val="25"/>
        </w:rPr>
        <w:t>, se deduce como uno de los principios generales del derecho</w:t>
      </w:r>
      <w:r w:rsidRPr="00BB348C">
        <w:rPr>
          <w:rFonts w:ascii="Garamond" w:eastAsia="Arial" w:hAnsi="Garamond" w:cs="Arial"/>
          <w:i/>
          <w:sz w:val="25"/>
          <w:szCs w:val="25"/>
          <w:vertAlign w:val="superscript"/>
        </w:rPr>
        <w:t xml:space="preserve">14 </w:t>
      </w:r>
      <w:r w:rsidRPr="00BB348C">
        <w:rPr>
          <w:rFonts w:ascii="Garamond" w:eastAsia="Arial" w:hAnsi="Garamond" w:cs="Arial"/>
          <w:i/>
          <w:sz w:val="25"/>
          <w:szCs w:val="25"/>
        </w:rPr>
        <w:t>o se integra a la materia como consecuencia de la remisión que hacen a las disposiciones comerciales y civiles</w:t>
      </w:r>
      <w:r w:rsidRPr="00BB348C">
        <w:rPr>
          <w:rFonts w:ascii="Garamond" w:eastAsia="Arial" w:hAnsi="Garamond" w:cs="Arial"/>
          <w:i/>
          <w:sz w:val="25"/>
          <w:szCs w:val="25"/>
          <w:vertAlign w:val="superscript"/>
        </w:rPr>
        <w:t>15</w:t>
      </w:r>
      <w:r w:rsidRPr="00BB348C">
        <w:rPr>
          <w:rFonts w:ascii="Garamond" w:eastAsia="Arial" w:hAnsi="Garamond" w:cs="Arial"/>
          <w:i/>
          <w:sz w:val="25"/>
          <w:szCs w:val="25"/>
        </w:rPr>
        <w:t>, que lo consagran como fuente de obligaciones y derechos</w:t>
      </w:r>
      <w:r w:rsidRPr="00BB348C">
        <w:rPr>
          <w:rFonts w:ascii="Garamond" w:eastAsia="Arial" w:hAnsi="Garamond" w:cs="Arial"/>
          <w:i/>
          <w:sz w:val="25"/>
          <w:szCs w:val="25"/>
          <w:vertAlign w:val="superscript"/>
        </w:rPr>
        <w:t>16</w:t>
      </w:r>
      <w:r w:rsidRPr="00BB348C">
        <w:rPr>
          <w:rFonts w:ascii="Garamond" w:eastAsia="Arial" w:hAnsi="Garamond" w:cs="Arial"/>
          <w:i/>
          <w:sz w:val="25"/>
          <w:szCs w:val="25"/>
        </w:rPr>
        <w:t>.</w:t>
      </w:r>
    </w:p>
    <w:p w:rsidR="008B03FC" w:rsidRPr="00BB348C" w:rsidRDefault="008B03FC" w:rsidP="008B03FC">
      <w:pPr>
        <w:pStyle w:val="Normal1"/>
        <w:spacing w:line="276" w:lineRule="auto"/>
        <w:ind w:left="851" w:right="49"/>
        <w:jc w:val="both"/>
        <w:rPr>
          <w:rFonts w:ascii="Garamond" w:eastAsia="Arial" w:hAnsi="Garamond" w:cs="Arial"/>
          <w:i/>
          <w:sz w:val="25"/>
          <w:szCs w:val="25"/>
        </w:rPr>
      </w:pPr>
    </w:p>
    <w:p w:rsidR="008B03FC" w:rsidRPr="00BB348C" w:rsidRDefault="008B03FC" w:rsidP="008B03FC">
      <w:pPr>
        <w:pStyle w:val="Normal1"/>
        <w:spacing w:line="276" w:lineRule="auto"/>
        <w:ind w:left="851" w:right="49"/>
        <w:jc w:val="both"/>
        <w:rPr>
          <w:rFonts w:ascii="Garamond" w:eastAsia="Arial" w:hAnsi="Garamond" w:cs="Arial"/>
          <w:b/>
          <w:i/>
          <w:sz w:val="25"/>
          <w:szCs w:val="25"/>
          <w:u w:val="single"/>
        </w:rPr>
      </w:pPr>
      <w:r w:rsidRPr="00BB348C">
        <w:rPr>
          <w:rFonts w:ascii="Garamond" w:eastAsia="Arial" w:hAnsi="Garamond" w:cs="Arial"/>
          <w:b/>
          <w:i/>
          <w:sz w:val="25"/>
          <w:szCs w:val="25"/>
          <w:u w:val="single"/>
        </w:rPr>
        <w:t>15.2 De acuerdo con la jurisprudencia de la Sala, la buena fe obliga a las entidades a " respetar la seguridad jurídica, tener coherencia en sus actuaciones garantizar la confianza legítima de los administrados en la actividad del Estado, y...</w:t>
      </w:r>
      <w:r w:rsidRPr="00BB348C">
        <w:rPr>
          <w:rFonts w:ascii="Garamond" w:eastAsia="Times New Roman" w:hAnsi="Garamond" w:cs="Arial"/>
          <w:b/>
          <w:i/>
          <w:sz w:val="25"/>
          <w:szCs w:val="25"/>
          <w:u w:val="single"/>
        </w:rPr>
        <w:t xml:space="preserve"> </w:t>
      </w:r>
      <w:r w:rsidRPr="00BB348C">
        <w:rPr>
          <w:rFonts w:ascii="Garamond" w:eastAsia="Arial" w:hAnsi="Garamond" w:cs="Arial"/>
          <w:b/>
          <w:i/>
          <w:sz w:val="25"/>
          <w:szCs w:val="25"/>
          <w:u w:val="single"/>
        </w:rPr>
        <w:t>no actuar en contra de sus propios actos"</w:t>
      </w:r>
      <w:r w:rsidRPr="00BB348C">
        <w:rPr>
          <w:rFonts w:ascii="Garamond" w:eastAsia="Arial" w:hAnsi="Garamond" w:cs="Arial"/>
          <w:b/>
          <w:i/>
          <w:sz w:val="25"/>
          <w:szCs w:val="25"/>
          <w:u w:val="single"/>
          <w:vertAlign w:val="superscript"/>
        </w:rPr>
        <w:t>17</w:t>
      </w:r>
      <w:r w:rsidRPr="00BB348C">
        <w:rPr>
          <w:rFonts w:ascii="Garamond" w:eastAsia="Times New Roman" w:hAnsi="Garamond" w:cs="Arial"/>
          <w:b/>
          <w:i/>
          <w:sz w:val="25"/>
          <w:szCs w:val="25"/>
          <w:u w:val="single"/>
        </w:rPr>
        <w:t xml:space="preserve"> </w:t>
      </w:r>
      <w:r w:rsidRPr="00BB348C">
        <w:rPr>
          <w:rFonts w:ascii="Garamond" w:eastAsia="Arial" w:hAnsi="Garamond" w:cs="Arial"/>
          <w:b/>
          <w:i/>
          <w:sz w:val="25"/>
          <w:szCs w:val="25"/>
          <w:u w:val="single"/>
        </w:rPr>
        <w:t>, de suerte que "integra" el contenido y los efectos del contrato generando nuevas obligaciones y derechos a las partes.</w:t>
      </w:r>
    </w:p>
    <w:p w:rsidR="008B03FC" w:rsidRPr="00BB348C" w:rsidRDefault="008B03FC" w:rsidP="008B03FC">
      <w:pPr>
        <w:pStyle w:val="Normal1"/>
        <w:spacing w:line="276" w:lineRule="auto"/>
        <w:ind w:left="851" w:right="49"/>
        <w:jc w:val="both"/>
        <w:rPr>
          <w:rFonts w:ascii="Garamond" w:eastAsia="Arial" w:hAnsi="Garamond" w:cs="Arial"/>
          <w:i/>
          <w:sz w:val="25"/>
          <w:szCs w:val="25"/>
        </w:rPr>
      </w:pPr>
    </w:p>
    <w:p w:rsidR="008B03FC" w:rsidRPr="00BB348C" w:rsidRDefault="008B03FC" w:rsidP="008B03FC">
      <w:pPr>
        <w:pStyle w:val="Normal1"/>
        <w:spacing w:line="276" w:lineRule="auto"/>
        <w:ind w:left="851" w:right="49"/>
        <w:jc w:val="both"/>
        <w:rPr>
          <w:rFonts w:ascii="Garamond" w:eastAsia="Arial" w:hAnsi="Garamond" w:cs="Arial"/>
          <w:i/>
          <w:sz w:val="25"/>
          <w:szCs w:val="25"/>
        </w:rPr>
      </w:pPr>
      <w:r w:rsidRPr="00BB348C">
        <w:rPr>
          <w:rFonts w:ascii="Garamond" w:eastAsia="Arial" w:hAnsi="Garamond" w:cs="Arial"/>
          <w:i/>
          <w:sz w:val="25"/>
          <w:szCs w:val="25"/>
        </w:rPr>
        <w:t>15.3 En general, con el término "integración" se hace referencia a formas de intervención sobre el contrato que van más allá del amplio desarrollo de la lógica de la declaración de los contratantes y que se agregan a su actividad en la construcción definitiva de sus obligaciones y derechos</w:t>
      </w:r>
      <w:r w:rsidRPr="00BB348C">
        <w:rPr>
          <w:rFonts w:ascii="Garamond" w:eastAsia="Times New Roman" w:hAnsi="Garamond" w:cs="Arial"/>
          <w:i/>
          <w:sz w:val="25"/>
          <w:szCs w:val="25"/>
        </w:rPr>
        <w:t xml:space="preserve"> </w:t>
      </w:r>
      <w:r w:rsidRPr="00BB348C">
        <w:rPr>
          <w:rFonts w:ascii="Garamond" w:eastAsia="Arial" w:hAnsi="Garamond" w:cs="Arial"/>
          <w:i/>
          <w:sz w:val="25"/>
          <w:szCs w:val="25"/>
          <w:vertAlign w:val="superscript"/>
        </w:rPr>
        <w:t>18</w:t>
      </w:r>
      <w:r w:rsidRPr="00BB348C">
        <w:rPr>
          <w:rFonts w:ascii="Garamond" w:eastAsia="Arial" w:hAnsi="Garamond" w:cs="Arial"/>
          <w:i/>
          <w:sz w:val="25"/>
          <w:szCs w:val="25"/>
        </w:rPr>
        <w:t>. En otros términos, el fenómeno de la integración debe ser entendido como el medio de intervención de la voluntad pública en las relaciones contractuales</w:t>
      </w:r>
      <w:r w:rsidRPr="00BB348C">
        <w:rPr>
          <w:rFonts w:ascii="Garamond" w:eastAsia="Arial" w:hAnsi="Garamond" w:cs="Arial"/>
          <w:i/>
          <w:sz w:val="25"/>
          <w:szCs w:val="25"/>
          <w:vertAlign w:val="superscript"/>
        </w:rPr>
        <w:t>19</w:t>
      </w:r>
      <w:r w:rsidRPr="00BB348C">
        <w:rPr>
          <w:rFonts w:ascii="Garamond" w:eastAsia="Arial" w:hAnsi="Garamond" w:cs="Arial"/>
          <w:i/>
          <w:sz w:val="25"/>
          <w:szCs w:val="25"/>
        </w:rPr>
        <w:t>, lo cual significa que al lado de las determinaciones convencionales que tienen fundamento en el acuerdo de las partes, es necesario considerar las prescripciones que tienen título en la ley o en las otras fuentes externas a su acuerdo</w:t>
      </w:r>
      <w:r w:rsidRPr="00BB348C">
        <w:rPr>
          <w:rFonts w:ascii="Garamond" w:eastAsia="Arial" w:hAnsi="Garamond" w:cs="Arial"/>
          <w:i/>
          <w:sz w:val="25"/>
          <w:szCs w:val="25"/>
          <w:vertAlign w:val="superscript"/>
        </w:rPr>
        <w:t>20</w:t>
      </w:r>
      <w:r w:rsidRPr="00BB348C">
        <w:rPr>
          <w:rFonts w:ascii="Garamond" w:eastAsia="Arial" w:hAnsi="Garamond" w:cs="Arial"/>
          <w:i/>
          <w:sz w:val="25"/>
          <w:szCs w:val="25"/>
        </w:rPr>
        <w:t>, como las normas imperativas, las normas supletorias, la buena fe, la costumbre y la equidad.</w:t>
      </w:r>
    </w:p>
    <w:p w:rsidR="008B03FC" w:rsidRPr="00BB348C" w:rsidRDefault="008B03FC" w:rsidP="008B03FC">
      <w:pPr>
        <w:pStyle w:val="Normal1"/>
        <w:spacing w:line="276" w:lineRule="auto"/>
        <w:ind w:left="851" w:right="49"/>
        <w:jc w:val="both"/>
        <w:rPr>
          <w:rFonts w:ascii="Garamond" w:eastAsia="Arial" w:hAnsi="Garamond" w:cs="Arial"/>
          <w:i/>
          <w:sz w:val="25"/>
          <w:szCs w:val="25"/>
        </w:rPr>
      </w:pPr>
    </w:p>
    <w:p w:rsidR="008B03FC" w:rsidRPr="00BB348C" w:rsidRDefault="008B03FC" w:rsidP="008B03FC">
      <w:pPr>
        <w:pStyle w:val="Normal1"/>
        <w:spacing w:line="276" w:lineRule="auto"/>
        <w:ind w:left="851" w:right="49"/>
        <w:jc w:val="both"/>
        <w:rPr>
          <w:rFonts w:ascii="Garamond" w:eastAsia="Arial" w:hAnsi="Garamond" w:cs="Arial"/>
          <w:b/>
          <w:i/>
          <w:sz w:val="25"/>
          <w:szCs w:val="25"/>
          <w:u w:val="single"/>
        </w:rPr>
      </w:pPr>
      <w:r w:rsidRPr="00BB348C">
        <w:rPr>
          <w:rFonts w:ascii="Garamond" w:eastAsia="Arial" w:hAnsi="Garamond" w:cs="Arial"/>
          <w:b/>
          <w:i/>
          <w:sz w:val="25"/>
          <w:szCs w:val="25"/>
          <w:u w:val="single"/>
        </w:rPr>
        <w:t>15.4 En el caso concreto se aprecia que el contratista, como se ha explicado con anterioridad, fue leal y correcto en sus actuaciones de conformidad con las normas referidas y con las disposiciones especiales incorporadas en la Ley 80 de 1993</w:t>
      </w:r>
      <w:r w:rsidRPr="00BB348C">
        <w:rPr>
          <w:rFonts w:ascii="Garamond" w:eastAsia="Arial" w:hAnsi="Garamond" w:cs="Arial"/>
          <w:b/>
          <w:i/>
          <w:sz w:val="25"/>
          <w:szCs w:val="25"/>
          <w:u w:val="single"/>
          <w:vertAlign w:val="superscript"/>
        </w:rPr>
        <w:t>21</w:t>
      </w:r>
      <w:r w:rsidRPr="00BB348C">
        <w:rPr>
          <w:rFonts w:ascii="Garamond" w:eastAsia="Arial" w:hAnsi="Garamond" w:cs="Arial"/>
          <w:b/>
          <w:i/>
          <w:sz w:val="25"/>
          <w:szCs w:val="25"/>
          <w:u w:val="single"/>
        </w:rPr>
        <w:t>. Por el contrario, la entidad no obró en acatamiento del principio de la buena fe puesto que se abstuvo de realizar el pago correspondiente a las obras adicionales y a las mayores cantidades de obra, con el argumento de que el municipio no las había autorizado a pesar de que en el acto de liquidación unilateral del contrato reconoció que las obras eran necesarias y de que habían sido aprobadas y aceptadas por el interventor y por el gerente de la obra durante la ejecución del contrato, sin que en esos momentos la entidad manifestara, a través del alcalde, inconformidad alguna con la ejecución que se daba al contrato.</w:t>
      </w:r>
    </w:p>
    <w:p w:rsidR="008B03FC" w:rsidRPr="00BB348C" w:rsidRDefault="008B03FC" w:rsidP="008B03FC">
      <w:pPr>
        <w:pStyle w:val="Normal1"/>
        <w:spacing w:line="276" w:lineRule="auto"/>
        <w:ind w:left="851" w:right="49"/>
        <w:jc w:val="both"/>
        <w:rPr>
          <w:rFonts w:ascii="Garamond" w:eastAsia="Arial" w:hAnsi="Garamond" w:cs="Arial"/>
          <w:i/>
          <w:sz w:val="25"/>
          <w:szCs w:val="25"/>
        </w:rPr>
      </w:pPr>
    </w:p>
    <w:p w:rsidR="008B03FC" w:rsidRPr="00BB348C" w:rsidRDefault="008B03FC" w:rsidP="008B03FC">
      <w:pPr>
        <w:pStyle w:val="Normal1"/>
        <w:spacing w:line="276" w:lineRule="auto"/>
        <w:ind w:left="851" w:right="49"/>
        <w:jc w:val="both"/>
        <w:rPr>
          <w:rFonts w:ascii="Garamond" w:eastAsia="Arial" w:hAnsi="Garamond" w:cs="Arial"/>
          <w:i/>
          <w:sz w:val="25"/>
          <w:szCs w:val="25"/>
        </w:rPr>
      </w:pPr>
      <w:r w:rsidRPr="00BB348C">
        <w:rPr>
          <w:rFonts w:ascii="Garamond" w:eastAsia="Arial" w:hAnsi="Garamond" w:cs="Arial"/>
          <w:i/>
          <w:sz w:val="25"/>
          <w:szCs w:val="25"/>
        </w:rPr>
        <w:lastRenderedPageBreak/>
        <w:t>15.5 En ese orden de ideas, la falta de formalización de las obras adicionales y mayores cantidades de obra que alega la entidad, le resulta exclusivamente imputable a ella y por tal razón está llamada a responder, tal y como lo concluyó la Sala, en un caso similar al que ahora se analiza:</w:t>
      </w:r>
    </w:p>
    <w:p w:rsidR="008B03FC" w:rsidRPr="00BB348C" w:rsidRDefault="008B03FC" w:rsidP="008B03FC">
      <w:pPr>
        <w:pStyle w:val="Normal1"/>
        <w:spacing w:line="276" w:lineRule="auto"/>
        <w:ind w:left="851" w:right="49"/>
        <w:jc w:val="both"/>
        <w:rPr>
          <w:rFonts w:ascii="Garamond" w:eastAsia="Arial" w:hAnsi="Garamond" w:cs="Arial"/>
          <w:i/>
          <w:sz w:val="25"/>
          <w:szCs w:val="25"/>
        </w:rPr>
      </w:pPr>
    </w:p>
    <w:p w:rsidR="008B03FC" w:rsidRPr="00BB348C" w:rsidRDefault="008B03FC" w:rsidP="008B03FC">
      <w:pPr>
        <w:pStyle w:val="Normal1"/>
        <w:spacing w:line="276" w:lineRule="auto"/>
        <w:ind w:left="851" w:right="49"/>
        <w:jc w:val="both"/>
        <w:rPr>
          <w:rFonts w:ascii="Garamond" w:eastAsia="Arial" w:hAnsi="Garamond" w:cs="Arial"/>
          <w:i/>
          <w:sz w:val="25"/>
          <w:szCs w:val="25"/>
        </w:rPr>
      </w:pPr>
      <w:r w:rsidRPr="00BB348C">
        <w:rPr>
          <w:rFonts w:ascii="Garamond" w:eastAsia="Arial" w:hAnsi="Garamond" w:cs="Arial"/>
          <w:i/>
          <w:sz w:val="25"/>
          <w:szCs w:val="25"/>
        </w:rPr>
        <w:t>So pretexto de la falta de formalización de las obras adicionales por causas imputables exclusivamente a la Administración, no pueden quedar burlados los principios de buena fe y equivalencia de las prestaciones mutuas; mucho menos se puede propiciar el detrimento patrimonial del contratista cuya conducta no fue otra que la de colaborar de buena fe con el cumplimiento de los fines del Estado, para entregar una obra completamente terminada y a satisfacción de la entidad contratante</w:t>
      </w:r>
      <w:r w:rsidRPr="00BB348C">
        <w:rPr>
          <w:rFonts w:ascii="Garamond" w:eastAsia="Arial" w:hAnsi="Garamond" w:cs="Arial"/>
          <w:i/>
          <w:sz w:val="25"/>
          <w:szCs w:val="25"/>
          <w:vertAlign w:val="superscript"/>
        </w:rPr>
        <w:t>22</w:t>
      </w:r>
      <w:r w:rsidRPr="00BB348C">
        <w:rPr>
          <w:rFonts w:ascii="Garamond" w:eastAsia="Arial" w:hAnsi="Garamond" w:cs="Arial"/>
          <w:i/>
          <w:sz w:val="25"/>
          <w:szCs w:val="25"/>
        </w:rPr>
        <w:t>.</w:t>
      </w:r>
    </w:p>
    <w:p w:rsidR="008B03FC" w:rsidRPr="00BB348C" w:rsidRDefault="008B03FC" w:rsidP="008B03FC">
      <w:pPr>
        <w:pStyle w:val="Normal1"/>
        <w:spacing w:line="276" w:lineRule="auto"/>
        <w:ind w:left="851" w:right="49"/>
        <w:jc w:val="both"/>
        <w:rPr>
          <w:rFonts w:ascii="Garamond" w:eastAsia="Arial" w:hAnsi="Garamond" w:cs="Arial"/>
          <w:i/>
          <w:sz w:val="25"/>
          <w:szCs w:val="25"/>
        </w:rPr>
      </w:pPr>
    </w:p>
    <w:p w:rsidR="008B03FC" w:rsidRPr="00BB348C" w:rsidRDefault="008B03FC" w:rsidP="008B03FC">
      <w:pPr>
        <w:pStyle w:val="Normal1"/>
        <w:spacing w:line="276" w:lineRule="auto"/>
        <w:ind w:left="851" w:right="49"/>
        <w:jc w:val="both"/>
        <w:rPr>
          <w:rFonts w:ascii="Garamond" w:eastAsia="Arial" w:hAnsi="Garamond" w:cs="Arial"/>
          <w:i/>
          <w:sz w:val="25"/>
          <w:szCs w:val="25"/>
        </w:rPr>
      </w:pPr>
      <w:r w:rsidRPr="00BB348C">
        <w:rPr>
          <w:rFonts w:ascii="Garamond" w:eastAsia="Arial" w:hAnsi="Garamond" w:cs="Arial"/>
          <w:i/>
          <w:sz w:val="25"/>
          <w:szCs w:val="25"/>
        </w:rPr>
        <w:t>16 Tan importante como lo anterior, el incumplimiento de las obligaciones derivadas del deber de planeación, inmerso en el principio de economía, obligan a la entidad contratante a pagar el valor de las mayores cantidades de obra y de los ítems adicionales en el asunto sometido a consideración de la Sala.</w:t>
      </w:r>
    </w:p>
    <w:p w:rsidR="008B03FC" w:rsidRPr="00BB348C" w:rsidRDefault="008B03FC" w:rsidP="008B03FC">
      <w:pPr>
        <w:pStyle w:val="Normal1"/>
        <w:spacing w:line="276" w:lineRule="auto"/>
        <w:ind w:left="851" w:right="49"/>
        <w:jc w:val="both"/>
        <w:rPr>
          <w:rFonts w:ascii="Garamond" w:eastAsia="Arial" w:hAnsi="Garamond" w:cs="Arial"/>
          <w:i/>
          <w:sz w:val="25"/>
          <w:szCs w:val="25"/>
        </w:rPr>
      </w:pPr>
    </w:p>
    <w:p w:rsidR="008B03FC" w:rsidRPr="00BB348C" w:rsidRDefault="008B03FC" w:rsidP="008B03FC">
      <w:pPr>
        <w:pStyle w:val="Normal1"/>
        <w:spacing w:line="276" w:lineRule="auto"/>
        <w:ind w:left="851" w:right="49"/>
        <w:jc w:val="both"/>
        <w:rPr>
          <w:rFonts w:ascii="Garamond" w:eastAsia="Arial" w:hAnsi="Garamond" w:cs="Arial"/>
          <w:i/>
          <w:sz w:val="25"/>
          <w:szCs w:val="25"/>
        </w:rPr>
      </w:pPr>
      <w:r w:rsidRPr="00BB348C">
        <w:rPr>
          <w:rFonts w:ascii="Garamond" w:eastAsia="Arial" w:hAnsi="Garamond" w:cs="Arial"/>
          <w:i/>
          <w:sz w:val="25"/>
          <w:szCs w:val="25"/>
        </w:rPr>
        <w:t>16.1 Al respecto, la jurisprudencia indica:</w:t>
      </w:r>
    </w:p>
    <w:p w:rsidR="008B03FC" w:rsidRPr="00BB348C" w:rsidRDefault="008B03FC" w:rsidP="008B03FC">
      <w:pPr>
        <w:pStyle w:val="Normal1"/>
        <w:spacing w:line="276" w:lineRule="auto"/>
        <w:ind w:left="851" w:right="49"/>
        <w:jc w:val="both"/>
        <w:rPr>
          <w:rFonts w:ascii="Garamond" w:eastAsia="Arial" w:hAnsi="Garamond" w:cs="Arial"/>
          <w:i/>
          <w:sz w:val="25"/>
          <w:szCs w:val="25"/>
        </w:rPr>
      </w:pPr>
    </w:p>
    <w:p w:rsidR="008B03FC" w:rsidRPr="00BB348C" w:rsidRDefault="008B03FC" w:rsidP="008B03FC">
      <w:pPr>
        <w:pStyle w:val="Normal1"/>
        <w:spacing w:line="276" w:lineRule="auto"/>
        <w:ind w:left="851" w:right="49"/>
        <w:jc w:val="both"/>
        <w:rPr>
          <w:rFonts w:ascii="Garamond" w:eastAsia="Arial" w:hAnsi="Garamond" w:cs="Arial"/>
          <w:i/>
          <w:sz w:val="25"/>
          <w:szCs w:val="25"/>
        </w:rPr>
      </w:pPr>
      <w:r w:rsidRPr="00BB348C">
        <w:rPr>
          <w:rFonts w:ascii="Garamond" w:eastAsia="Arial" w:hAnsi="Garamond" w:cs="Arial"/>
          <w:i/>
          <w:sz w:val="25"/>
          <w:szCs w:val="25"/>
        </w:rPr>
        <w:t>Dentro de los principios capitales que de antaño han informado la actividad contractual del Estado (El artículo 72 del Decreto 150 de 1976 ya hacía referencia a este punto. Asimismo, el decreto 222 de 1983 implícitamente hacía referencia a él en el numeral 2°del artículo 30, en el artículo 46, en el parágrafo 1°del artículo 83 y de manera expresa en el artículo 84 referido a los contratos de obra pública), ocupa especial lugar el de economía, una de cuyas manifestaciones es la planeación. Por virtud de ésta la entidad estatal contratante está en el deber legal (ley 80 de 1993 numerales 7, 12, 25 y 26 del artículo 25, e inciso segundo del numeral 1°del artículo 30) de elaborar, antes de emprender el proceso de selección del contratista, los estudios completos y análisis serios que el proyecto demande, los cuales inciden en la etapa de formación del contrato y en forma -si se quiere más significativa- en su etapa de ejecución.</w:t>
      </w:r>
    </w:p>
    <w:p w:rsidR="008B03FC" w:rsidRPr="00BB348C" w:rsidRDefault="008B03FC" w:rsidP="008B03FC">
      <w:pPr>
        <w:pStyle w:val="Normal1"/>
        <w:spacing w:line="276" w:lineRule="auto"/>
        <w:ind w:left="851" w:right="49"/>
        <w:jc w:val="both"/>
        <w:rPr>
          <w:rFonts w:ascii="Garamond" w:eastAsia="Arial" w:hAnsi="Garamond" w:cs="Arial"/>
          <w:i/>
          <w:sz w:val="25"/>
          <w:szCs w:val="25"/>
        </w:rPr>
      </w:pPr>
    </w:p>
    <w:p w:rsidR="008B03FC" w:rsidRPr="00BB348C" w:rsidRDefault="008B03FC" w:rsidP="008B03FC">
      <w:pPr>
        <w:pStyle w:val="Normal1"/>
        <w:spacing w:line="276" w:lineRule="auto"/>
        <w:ind w:left="851" w:right="49"/>
        <w:jc w:val="both"/>
        <w:rPr>
          <w:rFonts w:ascii="Garamond" w:eastAsia="Arial" w:hAnsi="Garamond" w:cs="Arial"/>
          <w:i/>
          <w:sz w:val="25"/>
          <w:szCs w:val="25"/>
        </w:rPr>
      </w:pPr>
      <w:r w:rsidRPr="00BB348C">
        <w:rPr>
          <w:rFonts w:ascii="Garamond" w:eastAsia="Arial" w:hAnsi="Garamond" w:cs="Arial"/>
          <w:i/>
          <w:sz w:val="25"/>
          <w:szCs w:val="25"/>
        </w:rPr>
        <w:t>En tal virtud, el deber de planeación, en tanto manifestación del principio de economía, tiene por finalidad asegurar que todo proyecto esté precedido de los estudios de orden técnico, financiero y jurídico requeridos para determinar su viabilidad económica y técnica y así poder establecer la conveniencia o no del objeto por contratar; si resulta o no necesario celebrar el respectivo negocio jurídico y su adecuación a los planes de inversión, de adquisición o compras, presupuesto y ley de apropiaciones, según el caso; y de ser necesario, deberá estar acompañado, además, de los diseños, planos y evaluaciones de prefactibilidad o factibilidad; qué modalidades contractuales pueden utilizarse y cuál de ellas resulta ser la más aconsejable; las características que deba reunir el bien o servicio objeto de licitación; así como los costos y recursos que su celebración y ejecución demanden</w:t>
      </w:r>
      <w:r w:rsidRPr="00BB348C">
        <w:rPr>
          <w:rFonts w:ascii="Garamond" w:eastAsia="Arial" w:hAnsi="Garamond" w:cs="Arial"/>
          <w:i/>
          <w:sz w:val="25"/>
          <w:szCs w:val="25"/>
          <w:vertAlign w:val="superscript"/>
        </w:rPr>
        <w:t>23</w:t>
      </w:r>
      <w:r w:rsidRPr="00BB348C">
        <w:rPr>
          <w:rFonts w:ascii="Garamond" w:eastAsia="Arial" w:hAnsi="Garamond" w:cs="Arial"/>
          <w:i/>
          <w:sz w:val="25"/>
          <w:szCs w:val="25"/>
        </w:rPr>
        <w:t>.</w:t>
      </w:r>
    </w:p>
    <w:p w:rsidR="008B03FC" w:rsidRPr="00BB348C" w:rsidRDefault="008B03FC" w:rsidP="008B03FC">
      <w:pPr>
        <w:pStyle w:val="Normal1"/>
        <w:spacing w:line="276" w:lineRule="auto"/>
        <w:ind w:left="851" w:right="49"/>
        <w:jc w:val="both"/>
        <w:rPr>
          <w:rFonts w:ascii="Garamond" w:eastAsia="Arial" w:hAnsi="Garamond" w:cs="Arial"/>
          <w:i/>
          <w:sz w:val="25"/>
          <w:szCs w:val="25"/>
        </w:rPr>
      </w:pPr>
    </w:p>
    <w:p w:rsidR="008B03FC" w:rsidRPr="00BB348C" w:rsidRDefault="008B03FC" w:rsidP="008B03FC">
      <w:pPr>
        <w:pStyle w:val="Normal1"/>
        <w:spacing w:line="276" w:lineRule="auto"/>
        <w:ind w:left="851" w:right="49"/>
        <w:jc w:val="both"/>
        <w:rPr>
          <w:rFonts w:ascii="Garamond" w:eastAsia="Arial" w:hAnsi="Garamond" w:cs="Arial"/>
          <w:i/>
          <w:sz w:val="25"/>
          <w:szCs w:val="25"/>
        </w:rPr>
      </w:pPr>
      <w:r w:rsidRPr="00BB348C">
        <w:rPr>
          <w:rFonts w:ascii="Garamond" w:eastAsia="Arial" w:hAnsi="Garamond" w:cs="Arial"/>
          <w:i/>
          <w:sz w:val="25"/>
          <w:szCs w:val="25"/>
        </w:rPr>
        <w:lastRenderedPageBreak/>
        <w:t>16.2 Las pruebas analizadas -párrafos 6.10 y 6.11-acreditan que desde el inicio del contrato eran absolutamente necesarias las obras que con posterioridad se realizaron a título de ítems imprevistos y mayores cantidades de obra, puesto que los conceptos y las cantidades originariamente acordadas en el anexo n.°1 del contrato -párrafo 6.3</w:t>
      </w:r>
      <w:r w:rsidRPr="00BB348C">
        <w:rPr>
          <w:rFonts w:ascii="Garamond" w:eastAsia="Times New Roman" w:hAnsi="Garamond" w:cs="Arial"/>
          <w:i/>
          <w:sz w:val="25"/>
          <w:szCs w:val="25"/>
        </w:rPr>
        <w:t xml:space="preserve"> </w:t>
      </w:r>
      <w:r w:rsidRPr="00BB348C">
        <w:rPr>
          <w:rFonts w:ascii="Garamond" w:eastAsia="Arial" w:hAnsi="Garamond" w:cs="Arial"/>
          <w:i/>
          <w:sz w:val="25"/>
          <w:szCs w:val="25"/>
        </w:rPr>
        <w:t>-no eran suficientes para el funcionamiento y operatividad del sistema de alcantarillado; en tal sentido, la Sala observa que realizar un proceso licitatorio y contratar la ejecución de unas obras en 1997, con base en diseños de 1993,cuando en el interregno hubo cambios y construcciones que hacían necesario modificar el proyecto, tiene como consecuencia lógica la falta de idoneidad de las obras contratadas para satisfacer el objeto, lo cual constituye una violación de las obligaciones emanadas del deber de planeación, imputable a la entidad contratante, que da lugar a la declaración de responsabilidad y a la condena respectiva.</w:t>
      </w:r>
    </w:p>
    <w:p w:rsidR="008B03FC" w:rsidRPr="00BB348C" w:rsidRDefault="008B03FC" w:rsidP="008B03FC">
      <w:pPr>
        <w:pStyle w:val="Normal1"/>
        <w:spacing w:line="276" w:lineRule="auto"/>
        <w:ind w:left="851" w:right="49"/>
        <w:jc w:val="both"/>
        <w:rPr>
          <w:rFonts w:ascii="Garamond" w:eastAsia="Arial" w:hAnsi="Garamond" w:cs="Arial"/>
          <w:i/>
          <w:sz w:val="25"/>
          <w:szCs w:val="25"/>
        </w:rPr>
      </w:pPr>
    </w:p>
    <w:p w:rsidR="008B03FC" w:rsidRPr="00BB348C" w:rsidRDefault="008B03FC" w:rsidP="008B03FC">
      <w:pPr>
        <w:pStyle w:val="Normal1"/>
        <w:spacing w:line="276" w:lineRule="auto"/>
        <w:ind w:left="851" w:right="49"/>
        <w:jc w:val="both"/>
        <w:rPr>
          <w:rFonts w:ascii="Garamond" w:eastAsia="Arial" w:hAnsi="Garamond" w:cs="Arial"/>
          <w:b/>
          <w:i/>
          <w:sz w:val="25"/>
          <w:szCs w:val="25"/>
          <w:u w:val="single"/>
        </w:rPr>
      </w:pPr>
      <w:r w:rsidRPr="00BB348C">
        <w:rPr>
          <w:rFonts w:ascii="Garamond" w:eastAsia="Arial" w:hAnsi="Garamond" w:cs="Arial"/>
          <w:b/>
          <w:i/>
          <w:sz w:val="25"/>
          <w:szCs w:val="25"/>
          <w:u w:val="single"/>
        </w:rPr>
        <w:t>17 En conclusión, no obstante la falta de un documento escrito en el cual la entidad territorial, a través de su representante, el alcalde, autorizara las obras, habida consideración de la motivación expuesta a lo largo de esta providencia, los principios de buena fe y economía, con el deber de planeación, integran el contrato y generan el derecho a favor del contratista de que se le reconozca y pague el valor de tales obras, y a cargo de la entidad la obligación correlativa de reconocerlas y pagarlas. De acuerdo con la interpretación de la Sala, el vínculo entre las partes respecto de tales obras más que de una disposición convencional contenida en un documento adicional y posterior al contrato, surge de la concreción de los principios referidos, en atención a las expectativas razonables creadas al contratista y como sanción a la falta de observancia de un comportamiento correcto por parte de la entidad. Todo lo expuesto configura, en consecuencia, el incumplimiento de las obligaciones contractuales emanadas de los principios de buena fe y de economía.</w:t>
      </w:r>
    </w:p>
    <w:p w:rsidR="008B03FC" w:rsidRPr="00BB348C" w:rsidRDefault="008B03FC" w:rsidP="008B03FC">
      <w:pPr>
        <w:pStyle w:val="Normal1"/>
        <w:spacing w:line="276" w:lineRule="auto"/>
        <w:ind w:left="851" w:right="49"/>
        <w:jc w:val="both"/>
        <w:rPr>
          <w:rFonts w:ascii="Arial" w:eastAsia="Arial" w:hAnsi="Arial" w:cs="Arial"/>
          <w:i/>
          <w:sz w:val="25"/>
          <w:szCs w:val="25"/>
        </w:rPr>
      </w:pPr>
    </w:p>
    <w:p w:rsidR="008B03FC" w:rsidRPr="00BB348C" w:rsidRDefault="008B03FC" w:rsidP="008B03FC">
      <w:pPr>
        <w:pStyle w:val="Standard"/>
        <w:jc w:val="both"/>
        <w:rPr>
          <w:rFonts w:ascii="Garamond" w:hAnsi="Garamond"/>
          <w:sz w:val="25"/>
          <w:szCs w:val="25"/>
        </w:rPr>
      </w:pPr>
      <w:r w:rsidRPr="00BB348C">
        <w:rPr>
          <w:rFonts w:ascii="Garamond" w:hAnsi="Garamond"/>
          <w:sz w:val="25"/>
          <w:szCs w:val="25"/>
        </w:rPr>
        <w:t>De igual forma, en Sentencia del 29 de febrero de 2012, proferida por la Subsección B de la Sección Tercera de la Sala de lo Contencioso Administrativo del Consejo de Estado definió algunos criterios para la procedencia del reconocimiento y pago de las mayores cantidades de obra en los siguientes términos:</w:t>
      </w:r>
    </w:p>
    <w:p w:rsidR="008B03FC" w:rsidRPr="00BB348C" w:rsidRDefault="008B03FC" w:rsidP="008B03FC">
      <w:pPr>
        <w:pStyle w:val="Textoindependiente22"/>
        <w:spacing w:line="276" w:lineRule="auto"/>
        <w:ind w:left="567" w:firstLine="0"/>
        <w:rPr>
          <w:rFonts w:ascii="Garamond" w:hAnsi="Garamond"/>
          <w:color w:val="00000A"/>
          <w:kern w:val="3"/>
          <w:sz w:val="25"/>
          <w:szCs w:val="25"/>
          <w:lang w:val="es-ES" w:eastAsia="zh-CN"/>
        </w:rPr>
      </w:pPr>
    </w:p>
    <w:p w:rsidR="008B03FC" w:rsidRPr="00BB348C" w:rsidRDefault="008B03FC" w:rsidP="008B03FC">
      <w:pPr>
        <w:pStyle w:val="Textoindependiente22"/>
        <w:spacing w:line="276" w:lineRule="auto"/>
        <w:ind w:left="567" w:firstLine="0"/>
        <w:rPr>
          <w:rFonts w:ascii="Garamond" w:hAnsi="Garamond" w:cs="Arial"/>
          <w:i/>
          <w:sz w:val="25"/>
          <w:szCs w:val="25"/>
          <w:lang w:val="es-ES"/>
        </w:rPr>
      </w:pPr>
      <w:r w:rsidRPr="00BB348C">
        <w:rPr>
          <w:rFonts w:ascii="Garamond" w:hAnsi="Garamond" w:cs="Arial"/>
          <w:i/>
          <w:sz w:val="25"/>
          <w:szCs w:val="25"/>
          <w:lang w:val="es-ES"/>
        </w:rPr>
        <w:t>“(…)</w:t>
      </w:r>
    </w:p>
    <w:p w:rsidR="008B03FC" w:rsidRPr="00BB348C" w:rsidRDefault="008B03FC" w:rsidP="008B03FC">
      <w:pPr>
        <w:pStyle w:val="Textoindependiente22"/>
        <w:spacing w:line="276" w:lineRule="auto"/>
        <w:ind w:left="567" w:firstLine="0"/>
        <w:rPr>
          <w:rFonts w:ascii="Garamond" w:hAnsi="Garamond" w:cs="Arial"/>
          <w:i/>
          <w:sz w:val="25"/>
          <w:szCs w:val="25"/>
          <w:lang w:val="es-ES"/>
        </w:rPr>
      </w:pPr>
    </w:p>
    <w:p w:rsidR="008B03FC" w:rsidRPr="00BB348C" w:rsidRDefault="008B03FC" w:rsidP="008B03FC">
      <w:pPr>
        <w:pStyle w:val="Textoindependiente22"/>
        <w:spacing w:line="276" w:lineRule="auto"/>
        <w:ind w:left="567" w:firstLine="0"/>
        <w:rPr>
          <w:rFonts w:ascii="Garamond" w:hAnsi="Garamond" w:cs="Arial"/>
          <w:b/>
          <w:i/>
          <w:sz w:val="25"/>
          <w:szCs w:val="25"/>
          <w:u w:val="single"/>
          <w:lang w:val="es-ES"/>
        </w:rPr>
      </w:pPr>
      <w:r w:rsidRPr="00BB348C">
        <w:rPr>
          <w:rFonts w:ascii="Garamond" w:hAnsi="Garamond" w:cs="Arial"/>
          <w:b/>
          <w:i/>
          <w:sz w:val="25"/>
          <w:szCs w:val="25"/>
          <w:u w:val="single"/>
          <w:lang w:val="es-ES"/>
        </w:rPr>
        <w:t xml:space="preserve">60. Para que sea procedente la condena de la entidad al pago de las obras ejecutadas por fuera de lo expresamente pactado en el contrato, tal y como sucede con las mayores cantidades de obra –entendidas éstas como la ejecución de mayores cantidades </w:t>
      </w:r>
      <w:r w:rsidRPr="00BB348C">
        <w:rPr>
          <w:rFonts w:ascii="Garamond" w:hAnsi="Garamond" w:cs="Arial"/>
          <w:b/>
          <w:i/>
          <w:sz w:val="25"/>
          <w:szCs w:val="25"/>
          <w:u w:val="single"/>
          <w:lang w:val="es-ES"/>
        </w:rPr>
        <w:lastRenderedPageBreak/>
        <w:t xml:space="preserve">de unos ítems que sí han sido contemplados en el contrato- o con las obras adicionales –es decir aquellas carentes de consagración en el contrato y para las cuales resulta necesario establecer los nuevos precios unitarios- se requiere que su construcción no haya obedecido a la simple iniciativa autónoma del contratista, pues él está obligado por los términos del negocio jurídico celebrado con la administración y sólo debe realizar las obras en la cantidad y clase allí estipulados, salvo que de común acuerdo y en forma expresa, las partes hayan dispuesto la realización de mayores cantidades de obra u obras adicionales o que la entidad, en ejercicio de su facultad de modificación unilateral, así lo hubiere decidido a través del respectivo acto administrativo. De lo contrario, la clase y cantidad de obras, serán las contempladas en el contrato y a ellas se debe atener el contratista. </w:t>
      </w:r>
    </w:p>
    <w:p w:rsidR="008B03FC" w:rsidRPr="00BB348C" w:rsidRDefault="008B03FC" w:rsidP="008B03FC">
      <w:pPr>
        <w:pStyle w:val="Textoindependiente22"/>
        <w:spacing w:line="276" w:lineRule="auto"/>
        <w:ind w:left="567" w:firstLine="0"/>
        <w:rPr>
          <w:rFonts w:ascii="Garamond" w:hAnsi="Garamond" w:cs="Arial"/>
          <w:b/>
          <w:i/>
          <w:sz w:val="25"/>
          <w:szCs w:val="25"/>
          <w:u w:val="single"/>
          <w:lang w:val="es-ES"/>
        </w:rPr>
      </w:pPr>
    </w:p>
    <w:p w:rsidR="008B03FC" w:rsidRPr="00BB348C" w:rsidRDefault="008B03FC" w:rsidP="008B03FC">
      <w:pPr>
        <w:pStyle w:val="BodyText31"/>
        <w:spacing w:line="276" w:lineRule="auto"/>
        <w:ind w:left="567" w:right="0"/>
        <w:rPr>
          <w:rFonts w:cs="Arial"/>
          <w:i/>
          <w:sz w:val="25"/>
          <w:szCs w:val="25"/>
        </w:rPr>
      </w:pPr>
      <w:r w:rsidRPr="00BB348C">
        <w:rPr>
          <w:rFonts w:cs="Arial"/>
          <w:b/>
          <w:i/>
          <w:sz w:val="25"/>
          <w:szCs w:val="25"/>
          <w:u w:val="single"/>
        </w:rPr>
        <w:t>61. Lo anterior, por cuanto “(…) ha sido criterio jurisprudencial consistente de la Corporación que para el reconocimiento de mayores cantidades de obra u obras adicionales o complementarias, las mismas deben haber sido previamente autorizadas y recibidas a satisfacción por la entidad contratante</w:t>
      </w:r>
      <w:r w:rsidRPr="00BB348C">
        <w:rPr>
          <w:rStyle w:val="Refdenotaalpie"/>
          <w:rFonts w:cs="Arial"/>
          <w:b/>
          <w:i/>
          <w:sz w:val="25"/>
          <w:szCs w:val="25"/>
        </w:rPr>
        <w:footnoteReference w:id="1"/>
      </w:r>
      <w:r w:rsidRPr="00BB348C">
        <w:rPr>
          <w:rFonts w:cs="Arial"/>
          <w:b/>
          <w:i/>
          <w:sz w:val="25"/>
          <w:szCs w:val="25"/>
          <w:u w:val="single"/>
        </w:rPr>
        <w:t>, aquiescencia que debe demostrarse en los términos antes expuestos cuando ellas se reclaman”</w:t>
      </w:r>
      <w:r w:rsidRPr="00BB348C">
        <w:rPr>
          <w:rStyle w:val="Refdenotaalpie"/>
          <w:rFonts w:cs="Arial"/>
          <w:b/>
          <w:i/>
          <w:sz w:val="25"/>
          <w:szCs w:val="25"/>
        </w:rPr>
        <w:footnoteReference w:id="2"/>
      </w:r>
      <w:r w:rsidRPr="00BB348C">
        <w:rPr>
          <w:rFonts w:cs="Arial"/>
          <w:b/>
          <w:i/>
          <w:sz w:val="25"/>
          <w:szCs w:val="25"/>
          <w:u w:val="single"/>
        </w:rPr>
        <w:t>.</w:t>
      </w:r>
      <w:r w:rsidRPr="00BB348C">
        <w:rPr>
          <w:rFonts w:cs="Arial"/>
          <w:i/>
          <w:sz w:val="25"/>
          <w:szCs w:val="25"/>
        </w:rPr>
        <w:t xml:space="preserve"> </w:t>
      </w:r>
    </w:p>
    <w:p w:rsidR="008B03FC" w:rsidRPr="00BB348C" w:rsidRDefault="008B03FC" w:rsidP="008B03FC">
      <w:pPr>
        <w:pStyle w:val="Textoindependiente22"/>
        <w:spacing w:line="276" w:lineRule="auto"/>
        <w:ind w:left="567" w:firstLine="0"/>
        <w:rPr>
          <w:rFonts w:ascii="Garamond" w:hAnsi="Garamond" w:cs="Arial"/>
          <w:i/>
          <w:sz w:val="25"/>
          <w:szCs w:val="25"/>
          <w:lang w:val="es-ES_tradnl"/>
        </w:rPr>
      </w:pPr>
    </w:p>
    <w:p w:rsidR="008B03FC" w:rsidRPr="00BB348C" w:rsidRDefault="008B03FC" w:rsidP="008B03FC">
      <w:pPr>
        <w:pStyle w:val="Textoindependiente22"/>
        <w:spacing w:line="276" w:lineRule="auto"/>
        <w:ind w:left="567" w:firstLine="0"/>
        <w:rPr>
          <w:rFonts w:ascii="Garamond" w:hAnsi="Garamond" w:cs="Arial"/>
          <w:i/>
          <w:sz w:val="25"/>
          <w:szCs w:val="25"/>
          <w:lang w:val="es-ES"/>
        </w:rPr>
      </w:pPr>
      <w:r w:rsidRPr="00BB348C">
        <w:rPr>
          <w:rFonts w:ascii="Garamond" w:hAnsi="Garamond" w:cs="Arial"/>
          <w:i/>
          <w:sz w:val="25"/>
          <w:szCs w:val="25"/>
          <w:lang w:val="es-ES"/>
        </w:rPr>
        <w:t>62. En el presente caso, se observa que en la primera acta de recibo final de la obra, suscrita en agosto de 1994 –reiterada en marzo de 1995- y que el contratista firmó sin observaciones, consta que de un valor total del contrato por $ 95 768 013,18 (luego del acta de compensación suscrita por las partes) se ejecutaron obras en total por valor de $ 88 473 712,48 (correspondiente a la obra ya recibida en el acta parcial de obra n.</w:t>
      </w:r>
      <w:r w:rsidRPr="00BB348C">
        <w:rPr>
          <w:rFonts w:ascii="Garamond" w:hAnsi="Garamond" w:cs="Arial"/>
          <w:i/>
          <w:sz w:val="25"/>
          <w:szCs w:val="25"/>
          <w:vertAlign w:val="superscript"/>
          <w:lang w:val="es-ES"/>
        </w:rPr>
        <w:t xml:space="preserve">o </w:t>
      </w:r>
      <w:r w:rsidRPr="00BB348C">
        <w:rPr>
          <w:rFonts w:ascii="Garamond" w:hAnsi="Garamond" w:cs="Arial"/>
          <w:i/>
          <w:sz w:val="25"/>
          <w:szCs w:val="25"/>
          <w:lang w:val="es-ES"/>
        </w:rPr>
        <w:t>1 por valor de $ 61 517 873,98, más la obra recibida en esta acta por valor de $ 26 611 652, 60, más el IVA descontado a esta acta por valor de $ 344 185,90) y que hubo un monto de $ 7 990 553,09, que no se ejecutó y por lo tanto quedó como saldo a favor de la entidad, suma que así mismo fue incluida en el acta de liquidación del contrato (fs. 716 y 673, cdno. 2-1).</w:t>
      </w:r>
    </w:p>
    <w:p w:rsidR="008B03FC" w:rsidRPr="00BB348C" w:rsidRDefault="008B03FC" w:rsidP="008B03FC">
      <w:pPr>
        <w:pStyle w:val="Textoindependiente22"/>
        <w:spacing w:line="276" w:lineRule="auto"/>
        <w:ind w:left="567" w:firstLine="0"/>
        <w:rPr>
          <w:rFonts w:ascii="Garamond" w:hAnsi="Garamond" w:cs="Arial"/>
          <w:i/>
          <w:sz w:val="25"/>
          <w:szCs w:val="25"/>
          <w:lang w:val="es-ES"/>
        </w:rPr>
      </w:pPr>
    </w:p>
    <w:p w:rsidR="008B03FC" w:rsidRPr="00BB348C" w:rsidRDefault="008B03FC" w:rsidP="008B03FC">
      <w:pPr>
        <w:pStyle w:val="Textoindependiente22"/>
        <w:spacing w:line="276" w:lineRule="auto"/>
        <w:ind w:left="567" w:firstLine="0"/>
        <w:rPr>
          <w:rFonts w:ascii="Garamond" w:hAnsi="Garamond" w:cs="Arial"/>
          <w:b/>
          <w:i/>
          <w:sz w:val="25"/>
          <w:szCs w:val="25"/>
          <w:u w:val="single"/>
          <w:lang w:val="es-ES"/>
        </w:rPr>
      </w:pPr>
      <w:r w:rsidRPr="00BB348C">
        <w:rPr>
          <w:rFonts w:ascii="Garamond" w:hAnsi="Garamond" w:cs="Arial"/>
          <w:b/>
          <w:i/>
          <w:sz w:val="25"/>
          <w:szCs w:val="25"/>
          <w:u w:val="single"/>
          <w:lang w:val="es-ES"/>
        </w:rPr>
        <w:t xml:space="preserve">63. Es claro entonces, según el contenido de la anterior acta final de obra, que la entidad no recibió a satisfacción mayores cantidades de obra u obras adicionales diferentes a las contenidas en el acta de compensación debidamente firmada por las </w:t>
      </w:r>
      <w:r w:rsidRPr="00BB348C">
        <w:rPr>
          <w:rFonts w:ascii="Garamond" w:hAnsi="Garamond" w:cs="Arial"/>
          <w:b/>
          <w:i/>
          <w:sz w:val="25"/>
          <w:szCs w:val="25"/>
          <w:u w:val="single"/>
          <w:lang w:val="es-ES"/>
        </w:rPr>
        <w:lastRenderedPageBreak/>
        <w:t xml:space="preserve">partes y por ello, no las incluyó ni reconoció su existencia en el acta de liquidación final del contrato. </w:t>
      </w:r>
    </w:p>
    <w:p w:rsidR="008B03FC" w:rsidRPr="00BB348C" w:rsidRDefault="008B03FC" w:rsidP="008B03FC">
      <w:pPr>
        <w:pStyle w:val="Textoindependiente22"/>
        <w:spacing w:line="276" w:lineRule="auto"/>
        <w:ind w:left="567" w:firstLine="0"/>
        <w:rPr>
          <w:rFonts w:ascii="Garamond" w:hAnsi="Garamond" w:cs="Arial"/>
          <w:i/>
          <w:sz w:val="25"/>
          <w:szCs w:val="25"/>
          <w:lang w:val="es-ES"/>
        </w:rPr>
      </w:pPr>
    </w:p>
    <w:p w:rsidR="008B03FC" w:rsidRPr="00BB348C" w:rsidRDefault="008B03FC" w:rsidP="008B03FC">
      <w:pPr>
        <w:pStyle w:val="Textoindependiente22"/>
        <w:spacing w:line="276" w:lineRule="auto"/>
        <w:ind w:left="567" w:firstLine="0"/>
        <w:rPr>
          <w:rFonts w:ascii="Garamond" w:hAnsi="Garamond" w:cs="Arial"/>
          <w:i/>
          <w:sz w:val="25"/>
          <w:szCs w:val="25"/>
          <w:lang w:val="es-ES"/>
        </w:rPr>
      </w:pPr>
      <w:r w:rsidRPr="00BB348C">
        <w:rPr>
          <w:rFonts w:ascii="Garamond" w:hAnsi="Garamond" w:cs="Arial"/>
          <w:i/>
          <w:sz w:val="25"/>
          <w:szCs w:val="25"/>
          <w:lang w:val="es-ES"/>
        </w:rPr>
        <w:t>64. Por otro lado, también consta (ver párrafo 12.8) que el contratista, al advertir que quedaba un saldo del precio pactado en el contrato sin ejecutar, decidió realizar obras por ese valor equivalente, manifestando que se trataba de obras que se consideraron necesarias y que había acordado con el anterior coordinador del contrato, ingeniero Javier Parra –curiosamente, el único funcionario interventor del contrato que no declaró en el sub-lite- y con el director de la cárcel.</w:t>
      </w:r>
    </w:p>
    <w:p w:rsidR="008B03FC" w:rsidRPr="00BB348C" w:rsidRDefault="008B03FC" w:rsidP="008B03FC">
      <w:pPr>
        <w:pStyle w:val="Textoindependiente22"/>
        <w:spacing w:line="276" w:lineRule="auto"/>
        <w:ind w:left="567" w:firstLine="0"/>
        <w:rPr>
          <w:rFonts w:ascii="Garamond" w:hAnsi="Garamond" w:cs="Arial"/>
          <w:i/>
          <w:sz w:val="25"/>
          <w:szCs w:val="25"/>
          <w:lang w:val="es-ES"/>
        </w:rPr>
      </w:pPr>
    </w:p>
    <w:p w:rsidR="008B03FC" w:rsidRPr="00BB348C" w:rsidRDefault="008B03FC" w:rsidP="008B03FC">
      <w:pPr>
        <w:pStyle w:val="Textoindependiente22"/>
        <w:spacing w:line="276" w:lineRule="auto"/>
        <w:ind w:left="567" w:firstLine="0"/>
        <w:rPr>
          <w:rFonts w:ascii="Garamond" w:hAnsi="Garamond" w:cs="Arial"/>
          <w:b/>
          <w:i/>
          <w:sz w:val="25"/>
          <w:szCs w:val="25"/>
          <w:u w:val="single"/>
          <w:lang w:val="es-ES"/>
        </w:rPr>
      </w:pPr>
      <w:r w:rsidRPr="00BB348C">
        <w:rPr>
          <w:rFonts w:ascii="Garamond" w:hAnsi="Garamond" w:cs="Arial"/>
          <w:b/>
          <w:i/>
          <w:sz w:val="25"/>
          <w:szCs w:val="25"/>
          <w:u w:val="single"/>
          <w:lang w:val="es-ES"/>
        </w:rPr>
        <w:t>65. Olvidó el contratista que los mencionados funcionarios no eran, para efectos de acordar nuevas obras o mayores cantidades de obra, representantes de la entidad con capacidad para obligarla, puesto que de acuerdo con lo estipulado en el contrato, era necesaria la aprobación del director de la entidad, aparte de que tampoco obra, distinta de esta manifestación del contratista, prueba alguna de que efectivamente aquellos funcionarios le hubieran ordenado obras para “completar” el valor del contrato 198 de 1992.</w:t>
      </w:r>
    </w:p>
    <w:p w:rsidR="008B03FC" w:rsidRPr="00BB348C" w:rsidRDefault="008B03FC" w:rsidP="008B03FC">
      <w:pPr>
        <w:pStyle w:val="Textoindependiente22"/>
        <w:spacing w:line="276" w:lineRule="auto"/>
        <w:ind w:left="567" w:firstLine="0"/>
        <w:rPr>
          <w:rFonts w:ascii="Garamond" w:hAnsi="Garamond" w:cs="Arial"/>
          <w:i/>
          <w:sz w:val="25"/>
          <w:szCs w:val="25"/>
          <w:lang w:val="es-ES"/>
        </w:rPr>
      </w:pPr>
    </w:p>
    <w:p w:rsidR="008B03FC" w:rsidRPr="00BB348C" w:rsidRDefault="008B03FC" w:rsidP="008B03FC">
      <w:pPr>
        <w:pStyle w:val="Textoindependiente22"/>
        <w:spacing w:line="276" w:lineRule="auto"/>
        <w:ind w:left="567" w:firstLine="0"/>
        <w:rPr>
          <w:rFonts w:ascii="Garamond" w:hAnsi="Garamond" w:cs="Arial"/>
          <w:i/>
          <w:sz w:val="25"/>
          <w:szCs w:val="25"/>
          <w:lang w:val="es-ES"/>
        </w:rPr>
      </w:pPr>
      <w:r w:rsidRPr="00BB348C">
        <w:rPr>
          <w:rFonts w:ascii="Garamond" w:hAnsi="Garamond" w:cs="Arial"/>
          <w:i/>
          <w:sz w:val="25"/>
          <w:szCs w:val="25"/>
          <w:lang w:val="es-ES"/>
        </w:rPr>
        <w:t>66. En tales condiciones, si bien en virtud del principio de la buena fe que debe informar a los contratos de la administración, cuando ésta es quien induce al contratista a ejecutar obras por fuera de los precisos términos del contrato sin haber perfeccionado formalmente tal modificación y recibe a satisfacción tales obras, por ser indispensables para la ejecución del objeto contractual</w:t>
      </w:r>
      <w:r w:rsidRPr="00BB348C">
        <w:rPr>
          <w:rStyle w:val="Refdenotaalpie"/>
          <w:rFonts w:ascii="Garamond" w:hAnsi="Garamond" w:cs="Arial"/>
          <w:i/>
          <w:sz w:val="25"/>
          <w:szCs w:val="25"/>
          <w:lang w:val="es-ES"/>
        </w:rPr>
        <w:footnoteReference w:id="3"/>
      </w:r>
      <w:r w:rsidRPr="00BB348C">
        <w:rPr>
          <w:rFonts w:ascii="Garamond" w:hAnsi="Garamond" w:cs="Arial"/>
          <w:i/>
          <w:sz w:val="25"/>
          <w:szCs w:val="25"/>
          <w:lang w:val="es-ES"/>
        </w:rPr>
        <w:t xml:space="preserve">, ella está en el deber de responder frente al contratista por el valor de las mismas, cuando es por la decisión autónoma e independiente del contratista que éste ejecuta tales obras extracontractuales, no puede aspirar a comprometer la responsabilidad de la administración, por esos costos que de manera alguna ella aceptó asumir, directa o indirectamente. </w:t>
      </w:r>
    </w:p>
    <w:p w:rsidR="008B03FC" w:rsidRPr="00BB348C" w:rsidRDefault="008B03FC" w:rsidP="008B03FC">
      <w:pPr>
        <w:pStyle w:val="Standard"/>
        <w:jc w:val="both"/>
        <w:rPr>
          <w:rFonts w:ascii="Garamond" w:hAnsi="Garamond"/>
          <w:sz w:val="25"/>
          <w:szCs w:val="25"/>
        </w:rPr>
      </w:pPr>
    </w:p>
    <w:p w:rsidR="008B03FC" w:rsidRPr="00BB348C" w:rsidRDefault="008B03FC" w:rsidP="008B03FC">
      <w:pPr>
        <w:pStyle w:val="Standard"/>
        <w:jc w:val="both"/>
        <w:rPr>
          <w:rFonts w:ascii="Garamond" w:hAnsi="Garamond"/>
          <w:sz w:val="25"/>
          <w:szCs w:val="25"/>
        </w:rPr>
      </w:pPr>
      <w:r w:rsidRPr="00BB348C">
        <w:rPr>
          <w:rFonts w:ascii="Garamond" w:hAnsi="Garamond"/>
          <w:sz w:val="25"/>
          <w:szCs w:val="25"/>
        </w:rPr>
        <w:t xml:space="preserve">Vistas las pautas jurisprudenciales sobre las cuales se ha estructurado la procedencia para el pago de las mayores cantidades de obra, esta Dirección de Contratación de la revisión de la justificación técnica expuesta por el Fondo de Desarrollo Local observa que, los eventos o circunstancias que dieron origen a la realización de estos ítems adicionales durante la ejecución del proyecto, no </w:t>
      </w:r>
      <w:r w:rsidRPr="00BB348C">
        <w:rPr>
          <w:rFonts w:ascii="Garamond" w:hAnsi="Garamond"/>
          <w:sz w:val="25"/>
          <w:szCs w:val="25"/>
        </w:rPr>
        <w:lastRenderedPageBreak/>
        <w:t>obedecieron al ejercicio caprichoso del contratista, sino que los mismos fueron convenidos con la Entidad contratante</w:t>
      </w:r>
      <w:r w:rsidR="00493B84" w:rsidRPr="00BB348C">
        <w:rPr>
          <w:rFonts w:ascii="Garamond" w:hAnsi="Garamond"/>
          <w:sz w:val="25"/>
          <w:szCs w:val="25"/>
        </w:rPr>
        <w:t xml:space="preserve"> y el interventor</w:t>
      </w:r>
      <w:r w:rsidRPr="00BB348C">
        <w:rPr>
          <w:rFonts w:ascii="Garamond" w:hAnsi="Garamond"/>
          <w:sz w:val="25"/>
          <w:szCs w:val="25"/>
        </w:rPr>
        <w:t>, todo esto con el fin de cumplir con el objeto contratado, es por ello que, de la lectura de la justificación técnica, muchas de las obras adicionales correspondieron a desarrollos necesarios para la terminación de varios tramos, y en donde sin su ejecución no se hubieran podido concluir con éxito las intervenciones de los segmentos contratados.</w:t>
      </w:r>
    </w:p>
    <w:p w:rsidR="008B03FC" w:rsidRPr="00BB348C" w:rsidRDefault="008B03FC" w:rsidP="008B03FC">
      <w:pPr>
        <w:pStyle w:val="Standard"/>
        <w:jc w:val="both"/>
        <w:rPr>
          <w:rFonts w:ascii="Garamond" w:hAnsi="Garamond"/>
          <w:sz w:val="25"/>
          <w:szCs w:val="25"/>
        </w:rPr>
      </w:pPr>
    </w:p>
    <w:p w:rsidR="008B03FC" w:rsidRPr="00BB348C" w:rsidRDefault="008B03FC" w:rsidP="008B03FC">
      <w:pPr>
        <w:pStyle w:val="Standard"/>
        <w:jc w:val="both"/>
        <w:rPr>
          <w:rFonts w:ascii="Garamond" w:hAnsi="Garamond"/>
          <w:sz w:val="25"/>
          <w:szCs w:val="25"/>
        </w:rPr>
      </w:pPr>
      <w:r w:rsidRPr="00BB348C">
        <w:rPr>
          <w:rFonts w:ascii="Garamond" w:hAnsi="Garamond"/>
          <w:sz w:val="25"/>
          <w:szCs w:val="25"/>
        </w:rPr>
        <w:t>Por otra parte, y en lo relacionado con el documento idóneo para proceder a la expedición del Certificado de Disponibilidad Presupuestal, y el correspondiente Registro Presupuestal, se considera pertinente realizar las siguientes consideraciones:</w:t>
      </w:r>
    </w:p>
    <w:p w:rsidR="008B03FC" w:rsidRPr="00BB348C" w:rsidRDefault="008B03FC" w:rsidP="008B03FC">
      <w:pPr>
        <w:pStyle w:val="Standard"/>
        <w:jc w:val="both"/>
        <w:rPr>
          <w:rFonts w:ascii="Garamond" w:hAnsi="Garamond"/>
          <w:sz w:val="25"/>
          <w:szCs w:val="25"/>
        </w:rPr>
      </w:pPr>
    </w:p>
    <w:p w:rsidR="008B03FC" w:rsidRPr="00BB348C" w:rsidRDefault="008B03FC" w:rsidP="008B03FC">
      <w:pPr>
        <w:pStyle w:val="Standard"/>
        <w:jc w:val="both"/>
        <w:rPr>
          <w:rFonts w:ascii="Garamond" w:hAnsi="Garamond"/>
          <w:sz w:val="25"/>
          <w:szCs w:val="25"/>
        </w:rPr>
      </w:pPr>
      <w:r w:rsidRPr="00BB348C">
        <w:rPr>
          <w:rFonts w:ascii="Garamond" w:hAnsi="Garamond"/>
          <w:sz w:val="25"/>
          <w:szCs w:val="25"/>
        </w:rPr>
        <w:t>Durante la ejecución de los contratos de obra, la Entidad Contratante, El Contratista y el Interventor del Contrato suscriben actas de obra tanto de ejecución, como de recibo final, y en donde se determinan no solo los hechos más relevantes que se presentaron durante el proyecto, sino también el estado financiero del mismo.</w:t>
      </w:r>
    </w:p>
    <w:p w:rsidR="008B03FC" w:rsidRPr="00BB348C" w:rsidRDefault="008B03FC" w:rsidP="008B03FC">
      <w:pPr>
        <w:pStyle w:val="Standard"/>
        <w:jc w:val="both"/>
        <w:rPr>
          <w:rFonts w:ascii="Garamond" w:hAnsi="Garamond"/>
          <w:sz w:val="25"/>
          <w:szCs w:val="25"/>
        </w:rPr>
      </w:pPr>
    </w:p>
    <w:p w:rsidR="008B03FC" w:rsidRPr="00BB348C" w:rsidRDefault="008B03FC" w:rsidP="008B03FC">
      <w:pPr>
        <w:pStyle w:val="Standard"/>
        <w:jc w:val="both"/>
        <w:rPr>
          <w:rFonts w:ascii="Garamond" w:hAnsi="Garamond"/>
          <w:sz w:val="25"/>
          <w:szCs w:val="25"/>
        </w:rPr>
      </w:pPr>
      <w:r w:rsidRPr="00BB348C">
        <w:rPr>
          <w:rFonts w:ascii="Garamond" w:hAnsi="Garamond"/>
          <w:sz w:val="25"/>
          <w:szCs w:val="25"/>
        </w:rPr>
        <w:t>Ahora bien, es de resaltar que, en el acta de recibo final se pueden reconocer las mayores cantidades de obra realizadas durante la ejecución del contrato. Estas actas de recibo final deben estar suscritas tanto por el Contratista, Interventor y la Entidad, y los valores en ellas consignados tienen que estar plenamente sustentados con las bitácoras de obra y las memorias correspondientes.</w:t>
      </w:r>
    </w:p>
    <w:p w:rsidR="008B03FC" w:rsidRPr="00BB348C" w:rsidRDefault="008B03FC" w:rsidP="008B03FC">
      <w:pPr>
        <w:pStyle w:val="Standard"/>
        <w:jc w:val="both"/>
        <w:rPr>
          <w:rFonts w:ascii="Garamond" w:hAnsi="Garamond"/>
          <w:sz w:val="25"/>
          <w:szCs w:val="25"/>
        </w:rPr>
      </w:pPr>
    </w:p>
    <w:p w:rsidR="008B03FC" w:rsidRPr="00BB348C" w:rsidRDefault="008B03FC" w:rsidP="008B03FC">
      <w:pPr>
        <w:pStyle w:val="Standard"/>
        <w:jc w:val="both"/>
        <w:rPr>
          <w:rFonts w:ascii="Garamond" w:hAnsi="Garamond"/>
          <w:sz w:val="25"/>
          <w:szCs w:val="25"/>
        </w:rPr>
      </w:pPr>
      <w:r w:rsidRPr="00BB348C">
        <w:rPr>
          <w:rFonts w:ascii="Garamond" w:hAnsi="Garamond"/>
          <w:sz w:val="25"/>
          <w:szCs w:val="25"/>
        </w:rPr>
        <w:t xml:space="preserve">Por consiguiente, una vez la Entidad, el Contratista y el Interventor hayan suscrito el acta de recibo final, se debe solicitar el Certificado de Disponibilidad Presupuestal con el fin de proceder a la elaboración del acta de liquidación del contrato. </w:t>
      </w:r>
    </w:p>
    <w:p w:rsidR="008B03FC" w:rsidRPr="00BB348C" w:rsidRDefault="008B03FC" w:rsidP="008B03FC">
      <w:pPr>
        <w:pStyle w:val="Standard"/>
        <w:jc w:val="both"/>
        <w:rPr>
          <w:rFonts w:ascii="Garamond" w:hAnsi="Garamond"/>
          <w:sz w:val="25"/>
          <w:szCs w:val="25"/>
        </w:rPr>
      </w:pPr>
    </w:p>
    <w:p w:rsidR="008B03FC" w:rsidRPr="00BB348C" w:rsidRDefault="008B03FC" w:rsidP="008B03FC">
      <w:pPr>
        <w:pStyle w:val="Standard"/>
        <w:jc w:val="both"/>
        <w:rPr>
          <w:rFonts w:ascii="Garamond" w:hAnsi="Garamond"/>
          <w:sz w:val="25"/>
          <w:szCs w:val="25"/>
        </w:rPr>
      </w:pPr>
      <w:r w:rsidRPr="00BB348C">
        <w:rPr>
          <w:rFonts w:ascii="Garamond" w:hAnsi="Garamond"/>
          <w:sz w:val="25"/>
          <w:szCs w:val="25"/>
        </w:rPr>
        <w:t xml:space="preserve">Dicha acta de liquidación del contrato entre otros aspectos, debe contener la información del certificado de disponibilidad presupuestal que ampara las mayores cantidades de obra, por lo que, una vez suscrita el acta, se procede a la expedición del registro presupuestal, y de esta forma adelantar el pago de las obligaciones allí consignadas entre ellas las de mayores cantidades de obra.   </w:t>
      </w:r>
    </w:p>
    <w:p w:rsidR="008B03FC" w:rsidRPr="00BB348C" w:rsidRDefault="008B03FC" w:rsidP="008B03FC">
      <w:pPr>
        <w:pStyle w:val="Standard"/>
        <w:jc w:val="both"/>
        <w:rPr>
          <w:rFonts w:ascii="Garamond" w:hAnsi="Garamond"/>
          <w:sz w:val="25"/>
          <w:szCs w:val="25"/>
        </w:rPr>
      </w:pPr>
    </w:p>
    <w:p w:rsidR="008B03FC" w:rsidRPr="00BB348C" w:rsidRDefault="008B03FC" w:rsidP="008B03FC">
      <w:pPr>
        <w:pStyle w:val="Standard"/>
        <w:jc w:val="both"/>
        <w:rPr>
          <w:rFonts w:ascii="Garamond" w:hAnsi="Garamond"/>
          <w:sz w:val="25"/>
          <w:szCs w:val="25"/>
        </w:rPr>
      </w:pPr>
      <w:r w:rsidRPr="00BB348C">
        <w:rPr>
          <w:rFonts w:ascii="Garamond" w:hAnsi="Garamond"/>
          <w:sz w:val="25"/>
          <w:szCs w:val="25"/>
        </w:rPr>
        <w:t xml:space="preserve">No está de más en señalar que, la etapa de liquidación del contrato ha sido definida, doctrinaria y jurisprudencialmente, como un corte de cuentas, es decir, la etapa final del negocio jurídico donde las partes hacen un balance económico, jurídico y técnico de lo ejecutado, y en virtud de ello el contratante y el contratista definen el estado en que queda el contrato después de su ejecución, o terminación por cualquier otra causa, o mejor, determinan la situación en que las partes están dispuestas a recibir y asumir el resultado de su ejecución. </w:t>
      </w:r>
    </w:p>
    <w:p w:rsidR="008B03FC" w:rsidRPr="00BB348C" w:rsidRDefault="008B03FC" w:rsidP="008B03FC">
      <w:pPr>
        <w:pStyle w:val="Standard"/>
        <w:jc w:val="both"/>
        <w:rPr>
          <w:rFonts w:ascii="Garamond" w:hAnsi="Garamond"/>
          <w:sz w:val="25"/>
          <w:szCs w:val="25"/>
        </w:rPr>
      </w:pPr>
    </w:p>
    <w:p w:rsidR="008B03FC" w:rsidRPr="00BB348C" w:rsidRDefault="008B03FC" w:rsidP="008B03FC">
      <w:pPr>
        <w:pStyle w:val="Standard"/>
        <w:jc w:val="both"/>
        <w:rPr>
          <w:rFonts w:ascii="Garamond" w:hAnsi="Garamond"/>
          <w:sz w:val="25"/>
          <w:szCs w:val="25"/>
        </w:rPr>
      </w:pPr>
      <w:r w:rsidRPr="00BB348C">
        <w:rPr>
          <w:rFonts w:ascii="Garamond" w:hAnsi="Garamond"/>
          <w:sz w:val="25"/>
          <w:szCs w:val="25"/>
        </w:rPr>
        <w:t xml:space="preserve">Esta liquidación es el escenario normal y usual, en donde las partes valoran el resultado del contrato, teniendo como epicentro del análisis el cumplimiento o incumplimiento de los derechos y las obligaciones que surgieron del negocio jurídico, pero también en ocasiones la ocurrencia de hechos o circunstancias ajenos a las partes, que afectan la ejecución normal del mismo, para determinar el estado en que quedan frente a éste. Liquidar supone un ajuste expreso y claro sobre </w:t>
      </w:r>
      <w:r w:rsidRPr="00BB348C">
        <w:rPr>
          <w:rFonts w:ascii="Garamond" w:hAnsi="Garamond"/>
          <w:sz w:val="25"/>
          <w:szCs w:val="25"/>
        </w:rPr>
        <w:lastRenderedPageBreak/>
        <w:t>las cuentas y el estado de cumplimiento de un contrato, de tal manera que conste el balance tanto técnico como económico de las obligaciones que estuvieron a cargo de las partes. En cuanto a lo primero, la liquidación debe incluir un análisis detallado de las condiciones de calidad y oportunidad en la entrega de los bienes, obras o servicios, y el balance económico dará cuenta del comportamiento financiero del negocio: recursos recibidos, pagos efectuados, estado del crédito o de la deuda de cada parte, entre otros detalles mínimos y necesarios para finiquitar una relación jurídica contractual.</w:t>
      </w:r>
    </w:p>
    <w:p w:rsidR="008B03FC" w:rsidRPr="00BB348C" w:rsidRDefault="008B03FC" w:rsidP="008B03FC">
      <w:pPr>
        <w:pStyle w:val="Standard"/>
        <w:jc w:val="both"/>
        <w:rPr>
          <w:rFonts w:ascii="Garamond" w:hAnsi="Garamond"/>
          <w:sz w:val="25"/>
          <w:szCs w:val="25"/>
        </w:rPr>
      </w:pPr>
    </w:p>
    <w:p w:rsidR="008B03FC" w:rsidRPr="00BB348C" w:rsidRDefault="008B03FC" w:rsidP="008B03FC">
      <w:pPr>
        <w:pStyle w:val="Standard"/>
        <w:jc w:val="both"/>
        <w:rPr>
          <w:rFonts w:ascii="Garamond" w:hAnsi="Garamond"/>
          <w:sz w:val="25"/>
          <w:szCs w:val="25"/>
        </w:rPr>
      </w:pPr>
      <w:r w:rsidRPr="00BB348C">
        <w:rPr>
          <w:rFonts w:ascii="Garamond" w:hAnsi="Garamond"/>
          <w:sz w:val="25"/>
          <w:szCs w:val="25"/>
        </w:rPr>
        <w:t>Finalmente, esta Dirección hace la salvedad de que es responsabilidad de</w:t>
      </w:r>
      <w:r w:rsidR="00493B84" w:rsidRPr="00BB348C">
        <w:rPr>
          <w:rFonts w:ascii="Garamond" w:hAnsi="Garamond"/>
          <w:sz w:val="25"/>
          <w:szCs w:val="25"/>
        </w:rPr>
        <w:t xml:space="preserve"> </w:t>
      </w:r>
      <w:r w:rsidRPr="00BB348C">
        <w:rPr>
          <w:rFonts w:ascii="Garamond" w:hAnsi="Garamond"/>
          <w:sz w:val="25"/>
          <w:szCs w:val="25"/>
        </w:rPr>
        <w:t>l</w:t>
      </w:r>
      <w:r w:rsidR="00493B84" w:rsidRPr="00BB348C">
        <w:rPr>
          <w:rFonts w:ascii="Garamond" w:hAnsi="Garamond"/>
          <w:sz w:val="25"/>
          <w:szCs w:val="25"/>
        </w:rPr>
        <w:t>a</w:t>
      </w:r>
      <w:r w:rsidRPr="00BB348C">
        <w:rPr>
          <w:rFonts w:ascii="Garamond" w:hAnsi="Garamond"/>
          <w:sz w:val="25"/>
          <w:szCs w:val="25"/>
        </w:rPr>
        <w:t xml:space="preserve"> Alcalde</w:t>
      </w:r>
      <w:r w:rsidR="00493B84" w:rsidRPr="00BB348C">
        <w:rPr>
          <w:rFonts w:ascii="Garamond" w:hAnsi="Garamond"/>
          <w:sz w:val="25"/>
          <w:szCs w:val="25"/>
        </w:rPr>
        <w:t>sa</w:t>
      </w:r>
      <w:r w:rsidRPr="00BB348C">
        <w:rPr>
          <w:rFonts w:ascii="Garamond" w:hAnsi="Garamond"/>
          <w:sz w:val="25"/>
          <w:szCs w:val="25"/>
        </w:rPr>
        <w:t xml:space="preserve"> Local de </w:t>
      </w:r>
      <w:r w:rsidR="00493B84" w:rsidRPr="00BB348C">
        <w:rPr>
          <w:rFonts w:ascii="Garamond" w:hAnsi="Garamond"/>
          <w:sz w:val="25"/>
          <w:szCs w:val="25"/>
        </w:rPr>
        <w:t>Engativ</w:t>
      </w:r>
      <w:r w:rsidR="00D525C5">
        <w:rPr>
          <w:rFonts w:ascii="Garamond" w:hAnsi="Garamond"/>
          <w:sz w:val="25"/>
          <w:szCs w:val="25"/>
        </w:rPr>
        <w:t>á</w:t>
      </w:r>
      <w:r w:rsidRPr="00BB348C">
        <w:rPr>
          <w:rFonts w:ascii="Garamond" w:hAnsi="Garamond"/>
          <w:sz w:val="25"/>
          <w:szCs w:val="25"/>
        </w:rPr>
        <w:t>, como representante legal del Fondo de Desarrollo Local, acorde a la facultad delegada por el artículo 8° del Decreto Distrital 101 de 2010, adelantar el trámite objeto de estas recomendaciones, acogiendo las mismas de forma total, parcial o negativamente.</w:t>
      </w:r>
    </w:p>
    <w:p w:rsidR="008B03FC" w:rsidRPr="00BB348C" w:rsidRDefault="008B03FC" w:rsidP="008B03FC">
      <w:pPr>
        <w:pStyle w:val="Standard"/>
        <w:rPr>
          <w:rFonts w:ascii="Garamond" w:hAnsi="Garamond"/>
          <w:sz w:val="25"/>
          <w:szCs w:val="25"/>
        </w:rPr>
      </w:pPr>
    </w:p>
    <w:p w:rsidR="008B03FC" w:rsidRPr="00BB348C" w:rsidRDefault="008B03FC" w:rsidP="008B03FC">
      <w:pPr>
        <w:pStyle w:val="Standard"/>
        <w:rPr>
          <w:rFonts w:ascii="Garamond" w:hAnsi="Garamond"/>
          <w:sz w:val="25"/>
          <w:szCs w:val="25"/>
        </w:rPr>
      </w:pPr>
      <w:r w:rsidRPr="00BB348C">
        <w:rPr>
          <w:rFonts w:ascii="Garamond" w:hAnsi="Garamond"/>
          <w:sz w:val="25"/>
          <w:szCs w:val="25"/>
        </w:rPr>
        <w:t>Cordialmente,</w:t>
      </w:r>
    </w:p>
    <w:p w:rsidR="008B03FC" w:rsidRPr="00BB348C" w:rsidRDefault="008B03FC" w:rsidP="008B03FC">
      <w:pPr>
        <w:pStyle w:val="Standard"/>
        <w:rPr>
          <w:rFonts w:ascii="Garamond" w:hAnsi="Garamond"/>
          <w:sz w:val="25"/>
          <w:szCs w:val="25"/>
        </w:rPr>
      </w:pPr>
    </w:p>
    <w:p w:rsidR="008B03FC" w:rsidRPr="00BB348C" w:rsidRDefault="008B03FC" w:rsidP="008B03FC">
      <w:pPr>
        <w:pStyle w:val="Standard"/>
        <w:rPr>
          <w:rFonts w:ascii="Garamond" w:hAnsi="Garamond"/>
          <w:sz w:val="25"/>
          <w:szCs w:val="25"/>
        </w:rPr>
      </w:pPr>
    </w:p>
    <w:p w:rsidR="008B03FC" w:rsidRPr="00BB348C" w:rsidRDefault="008B03FC" w:rsidP="008B03FC">
      <w:pPr>
        <w:pStyle w:val="Standard"/>
        <w:rPr>
          <w:rFonts w:ascii="Garamond" w:hAnsi="Garamond"/>
          <w:sz w:val="25"/>
          <w:szCs w:val="25"/>
        </w:rPr>
      </w:pPr>
    </w:p>
    <w:p w:rsidR="008B03FC" w:rsidRPr="00BB348C" w:rsidRDefault="008B03FC" w:rsidP="008B03FC">
      <w:pPr>
        <w:pStyle w:val="Standard"/>
        <w:rPr>
          <w:rFonts w:ascii="Garamond" w:hAnsi="Garamond"/>
          <w:b/>
          <w:bCs/>
          <w:sz w:val="25"/>
          <w:szCs w:val="25"/>
        </w:rPr>
      </w:pPr>
      <w:r w:rsidRPr="00BB348C">
        <w:rPr>
          <w:rFonts w:ascii="Garamond" w:hAnsi="Garamond"/>
          <w:b/>
          <w:bCs/>
          <w:sz w:val="25"/>
          <w:szCs w:val="25"/>
        </w:rPr>
        <w:t>CÁRMEN YOLANDA VILLABONA</w:t>
      </w:r>
    </w:p>
    <w:p w:rsidR="008B03FC" w:rsidRPr="00BB348C" w:rsidRDefault="008B03FC" w:rsidP="008B03FC">
      <w:pPr>
        <w:pStyle w:val="Standard"/>
        <w:rPr>
          <w:rFonts w:ascii="Garamond" w:hAnsi="Garamond"/>
          <w:sz w:val="25"/>
          <w:szCs w:val="25"/>
        </w:rPr>
      </w:pPr>
      <w:r w:rsidRPr="00BB348C">
        <w:rPr>
          <w:rFonts w:ascii="Garamond" w:hAnsi="Garamond"/>
          <w:sz w:val="25"/>
          <w:szCs w:val="25"/>
        </w:rPr>
        <w:t>Directora</w:t>
      </w:r>
    </w:p>
    <w:p w:rsidR="008B03FC" w:rsidRPr="00BB348C" w:rsidRDefault="008B03FC" w:rsidP="008B03FC">
      <w:pPr>
        <w:pStyle w:val="Standard"/>
        <w:rPr>
          <w:rFonts w:ascii="Garamond" w:hAnsi="Garamond"/>
          <w:sz w:val="16"/>
          <w:szCs w:val="16"/>
        </w:rPr>
      </w:pPr>
    </w:p>
    <w:p w:rsidR="008B03FC" w:rsidRPr="00BB348C" w:rsidRDefault="008B03FC" w:rsidP="008B03FC">
      <w:pPr>
        <w:pStyle w:val="Standard"/>
        <w:rPr>
          <w:rFonts w:ascii="Garamond" w:hAnsi="Garamond"/>
          <w:sz w:val="16"/>
          <w:szCs w:val="16"/>
        </w:rPr>
      </w:pPr>
      <w:r w:rsidRPr="00BB348C">
        <w:rPr>
          <w:rFonts w:ascii="Garamond" w:hAnsi="Garamond"/>
          <w:sz w:val="16"/>
          <w:szCs w:val="16"/>
        </w:rPr>
        <w:t>Proyectó: Carlos Alberto Osorio Cifuentes.</w:t>
      </w:r>
    </w:p>
    <w:sectPr w:rsidR="008B03FC" w:rsidRPr="00BB348C">
      <w:headerReference w:type="even" r:id="rId8"/>
      <w:headerReference w:type="default" r:id="rId9"/>
      <w:footerReference w:type="even" r:id="rId10"/>
      <w:footerReference w:type="default" r:id="rId11"/>
      <w:headerReference w:type="first" r:id="rId12"/>
      <w:footerReference w:type="first" r:id="rId13"/>
      <w:pgSz w:w="12240" w:h="15840"/>
      <w:pgMar w:top="2268" w:right="1134" w:bottom="1701"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659B" w:rsidRDefault="0010659B">
      <w:r>
        <w:separator/>
      </w:r>
    </w:p>
  </w:endnote>
  <w:endnote w:type="continuationSeparator" w:id="0">
    <w:p w:rsidR="0010659B" w:rsidRDefault="00106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Droid Sans">
    <w:altName w:val="Segoe UI"/>
    <w:charset w:val="00"/>
    <w:family w:val="auto"/>
    <w:pitch w:val="variable"/>
  </w:font>
  <w:font w:name="Lohit Hindi">
    <w:altName w:val="Calibri"/>
    <w:charset w:val="00"/>
    <w:family w:val="auto"/>
    <w:pitch w:val="default"/>
  </w:font>
  <w:font w:name="Liberation Serif">
    <w:altName w:val="Times New Roman"/>
    <w:charset w:val="00"/>
    <w:family w:val="roman"/>
    <w:pitch w:val="variable"/>
    <w:sig w:usb0="E0000AFF" w:usb1="500078FF" w:usb2="00000021" w:usb3="00000000" w:csb0="000001BF" w:csb1="00000000"/>
  </w:font>
  <w:font w:name="Liberation Sans">
    <w:altName w:val="Arial"/>
    <w:charset w:val="00"/>
    <w:family w:val="swiss"/>
    <w:pitch w:val="variable"/>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de3of9">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0165" w:rsidRDefault="0050016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403A" w:rsidRDefault="00C17E85">
    <w:pPr>
      <w:pStyle w:val="Piedepgina"/>
    </w:pPr>
    <w:r>
      <w:rPr>
        <w:noProof/>
        <w:lang w:val="es-CO" w:eastAsia="es-CO"/>
      </w:rPr>
      <w:drawing>
        <wp:anchor distT="0" distB="0" distL="114300" distR="114300" simplePos="0" relativeHeight="251663360" behindDoc="0" locked="0" layoutInCell="1" allowOverlap="1">
          <wp:simplePos x="0" y="0"/>
          <wp:positionH relativeFrom="column">
            <wp:posOffset>4987439</wp:posOffset>
          </wp:positionH>
          <wp:positionV relativeFrom="paragraph">
            <wp:posOffset>-423001</wp:posOffset>
          </wp:positionV>
          <wp:extent cx="932761" cy="685800"/>
          <wp:effectExtent l="0" t="0" r="689" b="0"/>
          <wp:wrapSquare wrapText="bothSides"/>
          <wp:docPr id="3" name="gráficos1" descr="logo-plantillas-2.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932761" cy="685800"/>
                  </a:xfrm>
                  <a:prstGeom prst="rect">
                    <a:avLst/>
                  </a:prstGeom>
                  <a:noFill/>
                  <a:ln>
                    <a:noFill/>
                    <a:prstDash/>
                  </a:ln>
                </pic:spPr>
              </pic:pic>
            </a:graphicData>
          </a:graphic>
        </wp:anchor>
      </w:drawing>
    </w:r>
    <w:r>
      <w:rPr>
        <w:noProof/>
        <w:lang w:val="es-CO" w:eastAsia="es-CO"/>
      </w:rPr>
      <mc:AlternateContent>
        <mc:Choice Requires="wps">
          <w:drawing>
            <wp:anchor distT="0" distB="0" distL="114300" distR="114300" simplePos="0" relativeHeight="251662336" behindDoc="1" locked="0" layoutInCell="1" allowOverlap="1">
              <wp:simplePos x="0" y="0"/>
              <wp:positionH relativeFrom="column">
                <wp:posOffset>-151918</wp:posOffset>
              </wp:positionH>
              <wp:positionV relativeFrom="paragraph">
                <wp:posOffset>-460436</wp:posOffset>
              </wp:positionV>
              <wp:extent cx="1828800" cy="800100"/>
              <wp:effectExtent l="0" t="0" r="19050" b="19050"/>
              <wp:wrapNone/>
              <wp:docPr id="4" name="1"/>
              <wp:cNvGraphicFramePr/>
              <a:graphic xmlns:a="http://schemas.openxmlformats.org/drawingml/2006/main">
                <a:graphicData uri="http://schemas.microsoft.com/office/word/2010/wordprocessingShape">
                  <wps:wsp>
                    <wps:cNvSpPr txBox="1"/>
                    <wps:spPr>
                      <a:xfrm>
                        <a:off x="0" y="0"/>
                        <a:ext cx="1828800" cy="800100"/>
                      </a:xfrm>
                      <a:prstGeom prst="rect">
                        <a:avLst/>
                      </a:prstGeom>
                      <a:solidFill>
                        <a:srgbClr val="FFFFFF"/>
                      </a:solidFill>
                      <a:ln w="758">
                        <a:solidFill>
                          <a:srgbClr val="000000"/>
                        </a:solidFill>
                        <a:prstDash val="solid"/>
                      </a:ln>
                    </wps:spPr>
                    <wps:txbx>
                      <w:txbxContent>
                        <w:p w:rsidR="00B0403A" w:rsidRDefault="00C17E85">
                          <w:pPr>
                            <w:pStyle w:val="Framecontents"/>
                            <w:rPr>
                              <w:rFonts w:ascii="Arial" w:hAnsi="Arial" w:cs="Arial"/>
                              <w:sz w:val="16"/>
                              <w:szCs w:val="16"/>
                              <w:lang w:val="es-MX"/>
                            </w:rPr>
                          </w:pPr>
                          <w:r>
                            <w:rPr>
                              <w:rFonts w:ascii="Arial" w:hAnsi="Arial" w:cs="Arial"/>
                              <w:sz w:val="16"/>
                              <w:szCs w:val="16"/>
                              <w:lang w:val="es-MX"/>
                            </w:rPr>
                            <w:t>Edificio Liévano</w:t>
                          </w:r>
                        </w:p>
                        <w:p w:rsidR="00B0403A" w:rsidRDefault="00C17E85">
                          <w:pPr>
                            <w:pStyle w:val="Framecontents"/>
                            <w:rPr>
                              <w:rFonts w:ascii="Arial" w:hAnsi="Arial" w:cs="Arial"/>
                              <w:sz w:val="16"/>
                              <w:szCs w:val="16"/>
                              <w:lang w:val="es-MX"/>
                            </w:rPr>
                          </w:pPr>
                          <w:r>
                            <w:rPr>
                              <w:rFonts w:ascii="Arial" w:hAnsi="Arial" w:cs="Arial"/>
                              <w:sz w:val="16"/>
                              <w:szCs w:val="16"/>
                              <w:lang w:val="es-MX"/>
                            </w:rPr>
                            <w:t>Calle 11 No. 8 -17</w:t>
                          </w:r>
                        </w:p>
                        <w:p w:rsidR="00B0403A" w:rsidRDefault="00C17E85">
                          <w:pPr>
                            <w:pStyle w:val="Framecontents"/>
                            <w:rPr>
                              <w:rFonts w:ascii="Arial" w:hAnsi="Arial" w:cs="Arial"/>
                              <w:sz w:val="16"/>
                              <w:szCs w:val="16"/>
                              <w:lang w:val="es-MX"/>
                            </w:rPr>
                          </w:pPr>
                          <w:r>
                            <w:rPr>
                              <w:rFonts w:ascii="Arial" w:hAnsi="Arial" w:cs="Arial"/>
                              <w:sz w:val="16"/>
                              <w:szCs w:val="16"/>
                              <w:lang w:val="es-MX"/>
                            </w:rPr>
                            <w:t>Código Postal: 111711</w:t>
                          </w:r>
                        </w:p>
                        <w:p w:rsidR="00B0403A" w:rsidRDefault="00C17E85">
                          <w:pPr>
                            <w:pStyle w:val="Framecontents"/>
                            <w:rPr>
                              <w:rFonts w:ascii="Arial" w:hAnsi="Arial" w:cs="Arial"/>
                              <w:sz w:val="16"/>
                              <w:szCs w:val="16"/>
                              <w:lang w:val="es-MX"/>
                            </w:rPr>
                          </w:pPr>
                          <w:r>
                            <w:rPr>
                              <w:rFonts w:ascii="Arial" w:hAnsi="Arial" w:cs="Arial"/>
                              <w:sz w:val="16"/>
                              <w:szCs w:val="16"/>
                              <w:lang w:val="es-MX"/>
                            </w:rPr>
                            <w:t>Tel. 3387000 - 3820660</w:t>
                          </w:r>
                        </w:p>
                        <w:p w:rsidR="00B0403A" w:rsidRDefault="00C17E85">
                          <w:pPr>
                            <w:pStyle w:val="Framecontents"/>
                            <w:rPr>
                              <w:rFonts w:ascii="Arial" w:hAnsi="Arial" w:cs="Arial"/>
                              <w:sz w:val="16"/>
                              <w:szCs w:val="16"/>
                              <w:lang w:val="es-MX"/>
                            </w:rPr>
                          </w:pPr>
                          <w:r>
                            <w:rPr>
                              <w:rFonts w:ascii="Arial" w:hAnsi="Arial" w:cs="Arial"/>
                              <w:sz w:val="16"/>
                              <w:szCs w:val="16"/>
                              <w:lang w:val="es-MX"/>
                            </w:rPr>
                            <w:t>Información Línea 195</w:t>
                          </w:r>
                        </w:p>
                        <w:p w:rsidR="00B0403A" w:rsidRDefault="00C17E85">
                          <w:pPr>
                            <w:pStyle w:val="Framecontents"/>
                            <w:rPr>
                              <w:rFonts w:ascii="Arial" w:hAnsi="Arial" w:cs="Arial"/>
                              <w:sz w:val="16"/>
                              <w:szCs w:val="16"/>
                              <w:lang w:val="es-MX"/>
                            </w:rPr>
                          </w:pPr>
                          <w:r>
                            <w:rPr>
                              <w:rFonts w:ascii="Arial" w:hAnsi="Arial" w:cs="Arial"/>
                              <w:sz w:val="16"/>
                              <w:szCs w:val="16"/>
                              <w:lang w:val="es-MX"/>
                            </w:rPr>
                            <w:t>www.gobiernobogota.gov.co</w:t>
                          </w:r>
                        </w:p>
                        <w:p w:rsidR="00B0403A" w:rsidRDefault="0010659B">
                          <w:pPr>
                            <w:pStyle w:val="Framecontents"/>
                            <w:rPr>
                              <w:szCs w:val="16"/>
                            </w:rPr>
                          </w:pPr>
                        </w:p>
                      </w:txbxContent>
                    </wps:txbx>
                    <wps:bodyPr vert="horz" wrap="none" lIns="92162" tIns="46442" rIns="92162" bIns="46442"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1" o:spid="_x0000_s1027" type="#_x0000_t202" style="position:absolute;margin-left:-11.95pt;margin-top:-36.25pt;width:2in;height:63pt;z-index:-25165414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" strokeweight=".02106mm">
              <v:textbox inset="2.56006mm,1.2901mm,2.56006mm,1.2901mm">
                <w:txbxContent>
                  <w:p w:rsidR="00B0403A" w:rsidRDefault="00C17E85">
                    <w:pPr>
                      <w:pStyle w:val="Framecontents"/>
                      <w:rPr>
                        <w:rFonts w:ascii="Arial" w:hAnsi="Arial" w:cs="Arial"/>
                        <w:sz w:val="16"/>
                        <w:szCs w:val="16"/>
                        <w:lang w:val="es-MX"/>
                      </w:rPr>
                    </w:pPr>
                    <w:r>
                      <w:rPr>
                        <w:rFonts w:ascii="Arial" w:hAnsi="Arial" w:cs="Arial"/>
                        <w:sz w:val="16"/>
                        <w:szCs w:val="16"/>
                        <w:lang w:val="es-MX"/>
                      </w:rPr>
                      <w:t>Edificio Liévano</w:t>
                    </w:r>
                  </w:p>
                  <w:p w:rsidR="00B0403A" w:rsidRDefault="00C17E85">
                    <w:pPr>
                      <w:pStyle w:val="Framecontents"/>
                      <w:rPr>
                        <w:rFonts w:ascii="Arial" w:hAnsi="Arial" w:cs="Arial"/>
                        <w:sz w:val="16"/>
                        <w:szCs w:val="16"/>
                        <w:lang w:val="es-MX"/>
                      </w:rPr>
                    </w:pPr>
                    <w:r>
                      <w:rPr>
                        <w:rFonts w:ascii="Arial" w:hAnsi="Arial" w:cs="Arial"/>
                        <w:sz w:val="16"/>
                        <w:szCs w:val="16"/>
                        <w:lang w:val="es-MX"/>
                      </w:rPr>
                      <w:t>Calle 11 No. 8 -17</w:t>
                    </w:r>
                  </w:p>
                  <w:p w:rsidR="00B0403A" w:rsidRDefault="00C17E85">
                    <w:pPr>
                      <w:pStyle w:val="Framecontents"/>
                      <w:rPr>
                        <w:rFonts w:ascii="Arial" w:hAnsi="Arial" w:cs="Arial"/>
                        <w:sz w:val="16"/>
                        <w:szCs w:val="16"/>
                        <w:lang w:val="es-MX"/>
                      </w:rPr>
                    </w:pPr>
                    <w:r>
                      <w:rPr>
                        <w:rFonts w:ascii="Arial" w:hAnsi="Arial" w:cs="Arial"/>
                        <w:sz w:val="16"/>
                        <w:szCs w:val="16"/>
                        <w:lang w:val="es-MX"/>
                      </w:rPr>
                      <w:t>Código Postal: 111711</w:t>
                    </w:r>
                  </w:p>
                  <w:p w:rsidR="00B0403A" w:rsidRDefault="00C17E85">
                    <w:pPr>
                      <w:pStyle w:val="Framecontents"/>
                      <w:rPr>
                        <w:rFonts w:ascii="Arial" w:hAnsi="Arial" w:cs="Arial"/>
                        <w:sz w:val="16"/>
                        <w:szCs w:val="16"/>
                        <w:lang w:val="es-MX"/>
                      </w:rPr>
                    </w:pPr>
                    <w:r>
                      <w:rPr>
                        <w:rFonts w:ascii="Arial" w:hAnsi="Arial" w:cs="Arial"/>
                        <w:sz w:val="16"/>
                        <w:szCs w:val="16"/>
                        <w:lang w:val="es-MX"/>
                      </w:rPr>
                      <w:t>Tel. 3387000 - 3820660</w:t>
                    </w:r>
                  </w:p>
                  <w:p w:rsidR="00B0403A" w:rsidRDefault="00C17E85">
                    <w:pPr>
                      <w:pStyle w:val="Framecontents"/>
                      <w:rPr>
                        <w:rFonts w:ascii="Arial" w:hAnsi="Arial" w:cs="Arial"/>
                        <w:sz w:val="16"/>
                        <w:szCs w:val="16"/>
                        <w:lang w:val="es-MX"/>
                      </w:rPr>
                    </w:pPr>
                    <w:r>
                      <w:rPr>
                        <w:rFonts w:ascii="Arial" w:hAnsi="Arial" w:cs="Arial"/>
                        <w:sz w:val="16"/>
                        <w:szCs w:val="16"/>
                        <w:lang w:val="es-MX"/>
                      </w:rPr>
                      <w:t>Información Línea 195</w:t>
                    </w:r>
                  </w:p>
                  <w:p w:rsidR="00B0403A" w:rsidRDefault="00C17E85">
                    <w:pPr>
                      <w:pStyle w:val="Framecontents"/>
                      <w:rPr>
                        <w:rFonts w:ascii="Arial" w:hAnsi="Arial" w:cs="Arial"/>
                        <w:sz w:val="16"/>
                        <w:szCs w:val="16"/>
                        <w:lang w:val="es-MX"/>
                      </w:rPr>
                    </w:pPr>
                    <w:r>
                      <w:rPr>
                        <w:rFonts w:ascii="Arial" w:hAnsi="Arial" w:cs="Arial"/>
                        <w:sz w:val="16"/>
                        <w:szCs w:val="16"/>
                        <w:lang w:val="es-MX"/>
                      </w:rPr>
                      <w:t>www.gobiernobogota.gov.co</w:t>
                    </w:r>
                  </w:p>
                  <w:p w:rsidR="00B0403A" w:rsidRDefault="0010659B">
                    <w:pPr>
                      <w:pStyle w:val="Framecontents"/>
                      <w:rPr>
                        <w:szCs w:val="16"/>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0165" w:rsidRDefault="005001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659B" w:rsidRDefault="0010659B">
      <w:r>
        <w:rPr>
          <w:color w:val="000000"/>
        </w:rPr>
        <w:separator/>
      </w:r>
    </w:p>
  </w:footnote>
  <w:footnote w:type="continuationSeparator" w:id="0">
    <w:p w:rsidR="0010659B" w:rsidRDefault="0010659B">
      <w:r>
        <w:continuationSeparator/>
      </w:r>
    </w:p>
  </w:footnote>
  <w:footnote w:id="1">
    <w:p w:rsidR="008B03FC" w:rsidRDefault="008B03FC" w:rsidP="008B03FC">
      <w:pPr>
        <w:jc w:val="both"/>
        <w:rPr>
          <w:rFonts w:ascii="Garamond" w:hAnsi="Garamond"/>
          <w:lang w:val="es-ES"/>
        </w:rPr>
      </w:pPr>
      <w:r>
        <w:rPr>
          <w:rStyle w:val="Refdenotaalpie"/>
          <w:rFonts w:ascii="Garamond" w:hAnsi="Garamond" w:cs="Arial"/>
        </w:rPr>
        <w:footnoteRef/>
      </w:r>
      <w:r>
        <w:rPr>
          <w:rFonts w:ascii="Garamond" w:hAnsi="Garamond"/>
        </w:rPr>
        <w:t xml:space="preserve"> </w:t>
      </w:r>
      <w:r>
        <w:rPr>
          <w:rFonts w:ascii="Garamond" w:hAnsi="Garamond" w:cs="Arial"/>
        </w:rPr>
        <w:t xml:space="preserve">[65] </w:t>
      </w:r>
      <w:r>
        <w:rPr>
          <w:rFonts w:ascii="Garamond" w:hAnsi="Garamond" w:cs="Arial"/>
          <w:i/>
        </w:rPr>
        <w:t>“Consejo de Estado, Sala de lo Contencioso Administrativo, Sección Tercera, Sentencia de 9 de mayo de 1996, Exp. No.  10.151. Igualmente, en Sentencia de 29 de agosto de 2007, Exp. 15.469, se enunciaron estos mismos criterios de necesidad de la autorización y recibo a satisfacción respecto de obras adicionales no amparadas en el contrato, pero que resultaban esenciales para la obra, como presupuesto para que proceda algún reconocimiento”.</w:t>
      </w:r>
      <w:r>
        <w:rPr>
          <w:rFonts w:ascii="Garamond" w:hAnsi="Garamond"/>
          <w:i/>
          <w:lang w:val="es-ES_tradnl"/>
        </w:rPr>
        <w:t xml:space="preserve"> </w:t>
      </w:r>
    </w:p>
  </w:footnote>
  <w:footnote w:id="2">
    <w:p w:rsidR="008B03FC" w:rsidRDefault="008B03FC" w:rsidP="008B03FC">
      <w:pPr>
        <w:pStyle w:val="Textonotapie"/>
        <w:jc w:val="both"/>
        <w:rPr>
          <w:rFonts w:ascii="Garamond" w:hAnsi="Garamond"/>
          <w:lang w:val="es-MX"/>
        </w:rPr>
      </w:pPr>
      <w:r>
        <w:rPr>
          <w:rStyle w:val="Refdenotaalpie"/>
          <w:rFonts w:ascii="Garamond" w:hAnsi="Garamond" w:cs="Arial"/>
        </w:rPr>
        <w:footnoteRef/>
      </w:r>
      <w:r>
        <w:rPr>
          <w:rFonts w:ascii="Garamond" w:hAnsi="Garamond" w:cs="Arial"/>
        </w:rPr>
        <w:t xml:space="preserve"> Consejo de Estado, Sala de lo Contencioso Administrativo, Sección Tercera, sentencia del 20 de noviembre de 2008, expediente 17031, C.P. Ruth Stella Correa Palacio.</w:t>
      </w:r>
    </w:p>
  </w:footnote>
  <w:footnote w:id="3">
    <w:p w:rsidR="008B03FC" w:rsidRDefault="008B03FC" w:rsidP="008B03FC">
      <w:pPr>
        <w:jc w:val="both"/>
        <w:rPr>
          <w:rFonts w:ascii="Garamond" w:hAnsi="Garamond" w:cs="Arial"/>
          <w:sz w:val="22"/>
          <w:szCs w:val="22"/>
          <w:lang w:val="es-ES"/>
        </w:rPr>
      </w:pPr>
      <w:r>
        <w:rPr>
          <w:rStyle w:val="Refdenotaalpie"/>
          <w:rFonts w:ascii="Garamond" w:hAnsi="Garamond" w:cs="Arial"/>
        </w:rPr>
        <w:footnoteRef/>
      </w:r>
      <w:r>
        <w:rPr>
          <w:rFonts w:ascii="Garamond" w:hAnsi="Garamond" w:cs="Arial"/>
        </w:rPr>
        <w:t xml:space="preserve"> Como lo dijo la Sección en otra ocasión: </w:t>
      </w:r>
      <w:r>
        <w:rPr>
          <w:rFonts w:ascii="Garamond" w:hAnsi="Garamond" w:cs="Arial"/>
          <w:i/>
        </w:rPr>
        <w:t>“Sucede que en el caso sub lite, las obras adicionales que fueron autorizadas por la Administración, construidas y entregadas por el contratista a satisfacción de la entidad contratante, presentan especiales características, en la medida que</w:t>
      </w:r>
      <w:r>
        <w:rPr>
          <w:rFonts w:ascii="Century Gothic" w:hAnsi="Century Gothic" w:cs="Arial"/>
          <w:i/>
        </w:rPr>
        <w:t xml:space="preserve"> </w:t>
      </w:r>
      <w:r>
        <w:rPr>
          <w:rFonts w:ascii="Garamond" w:hAnsi="Garamond" w:cs="Arial"/>
          <w:i/>
          <w:sz w:val="22"/>
          <w:szCs w:val="22"/>
        </w:rPr>
        <w:t>resultan esenciales e inherentes a la infraestructura misma que fue construida, es decir, son de su naturaleza, toda vez que para acometer la obra principal resultaba indispensable realizarlas de manera previa o concomitante o de lo contrario resultaría imposible cumplir con la ejecución de la obra contratada. (…) Cabe resaltar que en este caso especial y concreto resulta procedente el reconocimiento y pago de las obras adicionales con fundamento en el principio de la buena fe y la equivalencia de las prestaciones mutuas, que deben orientar la relación contractual, toda vez que, en esta situación excepcional y única, la ausencia de la formalidad del contrato escrito no puede constituirse en pretexto, para que la Administración desconozca el pago de obras adicionales al contratista que obró de buena fe e hizo prevalecer el interés general frente a sus propios intereses</w:t>
      </w:r>
      <w:r>
        <w:rPr>
          <w:rFonts w:ascii="Garamond" w:hAnsi="Garamond" w:cs="Arial"/>
          <w:sz w:val="22"/>
          <w:szCs w:val="22"/>
        </w:rPr>
        <w:t>…”, s</w:t>
      </w:r>
      <w:r>
        <w:rPr>
          <w:rFonts w:ascii="Garamond" w:hAnsi="Garamond" w:cs="Arial"/>
          <w:sz w:val="22"/>
          <w:szCs w:val="22"/>
          <w:lang w:val="es-ES_tradnl" w:eastAsia="es-CO"/>
        </w:rPr>
        <w:t>entencia del</w:t>
      </w:r>
      <w:r>
        <w:rPr>
          <w:rFonts w:ascii="Garamond" w:hAnsi="Garamond" w:cs="Arial"/>
          <w:sz w:val="22"/>
          <w:szCs w:val="22"/>
        </w:rPr>
        <w:t xml:space="preserve"> 29 de agosto de 2007, expediente 15.459, C.P. Mauricio Fajardo Gómez.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0165" w:rsidRDefault="0050016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403A" w:rsidRDefault="00C17E85">
    <w:pPr>
      <w:pStyle w:val="Encabezado"/>
    </w:pPr>
    <w:r>
      <w:rPr>
        <w:noProof/>
        <w:lang w:val="es-CO" w:eastAsia="es-CO"/>
      </w:rPr>
      <mc:AlternateContent>
        <mc:Choice Requires="wps">
          <w:drawing>
            <wp:anchor distT="0" distB="0" distL="114300" distR="114300" simplePos="0" relativeHeight="251659264" behindDoc="1" locked="0" layoutInCell="1" allowOverlap="1">
              <wp:simplePos x="0" y="0"/>
              <wp:positionH relativeFrom="column">
                <wp:posOffset>3777615</wp:posOffset>
              </wp:positionH>
              <wp:positionV relativeFrom="paragraph">
                <wp:posOffset>-126360</wp:posOffset>
              </wp:positionV>
              <wp:extent cx="2600325" cy="800100"/>
              <wp:effectExtent l="0" t="0" r="28575" b="19050"/>
              <wp:wrapNone/>
              <wp:docPr id="1" name="Marco1"/>
              <wp:cNvGraphicFramePr/>
              <a:graphic xmlns:a="http://schemas.openxmlformats.org/drawingml/2006/main">
                <a:graphicData uri="http://schemas.microsoft.com/office/word/2010/wordprocessingShape">
                  <wps:wsp>
                    <wps:cNvSpPr txBox="1"/>
                    <wps:spPr>
                      <a:xfrm>
                        <a:off x="0" y="0"/>
                        <a:ext cx="2600325" cy="800100"/>
                      </a:xfrm>
                      <a:prstGeom prst="rect">
                        <a:avLst/>
                      </a:prstGeom>
                      <a:solidFill>
                        <a:srgbClr val="FFFFFF"/>
                      </a:solidFill>
                      <a:ln w="758">
                        <a:solidFill>
                          <a:srgbClr val="000000"/>
                        </a:solidFill>
                        <a:prstDash val="solid"/>
                      </a:ln>
                    </wps:spPr>
                    <wps:txbx>
                      <w:txbxContent>
                        <w:p w:rsidR="00B0403A" w:rsidRDefault="00C17E85">
                          <w:pPr>
                            <w:pStyle w:val="Framecontents"/>
                            <w:rPr>
                              <w:rFonts w:ascii="Arial" w:hAnsi="Arial" w:cs="Arial"/>
                            </w:rPr>
                          </w:pPr>
                          <w:r>
                            <w:rPr>
                              <w:rFonts w:ascii="Arial" w:hAnsi="Arial" w:cs="Arial"/>
                            </w:rPr>
                            <w:t>Radicado No. 20184500176363</w:t>
                          </w:r>
                        </w:p>
                        <w:p w:rsidR="00B0403A" w:rsidRDefault="00C17E85">
                          <w:pPr>
                            <w:pStyle w:val="Framecontents"/>
                            <w:rPr>
                              <w:rFonts w:ascii="Arial" w:hAnsi="Arial" w:cs="Arial"/>
                            </w:rPr>
                          </w:pPr>
                          <w:r>
                            <w:rPr>
                              <w:rFonts w:ascii="Arial" w:hAnsi="Arial" w:cs="Arial"/>
                            </w:rPr>
                            <w:t>Fecha: 20-04-2018</w:t>
                          </w:r>
                        </w:p>
                        <w:p w:rsidR="00B0403A" w:rsidRDefault="00C17E85">
                          <w:pPr>
                            <w:pStyle w:val="Framecontents"/>
                            <w:rPr>
                              <w:rFonts w:ascii="Code3of9" w:hAnsi="Code3of9" w:cs="Arial"/>
                              <w:sz w:val="40"/>
                              <w:szCs w:val="40"/>
                              <w:lang w:val="en-US"/>
                            </w:rPr>
                          </w:pPr>
                          <w:r>
                            <w:rPr>
                              <w:rFonts w:ascii="Code3of9" w:hAnsi="Code3of9" w:cs="Arial"/>
                              <w:sz w:val="40"/>
                              <w:szCs w:val="40"/>
                              <w:lang w:val="en-US"/>
                            </w:rPr>
                            <w:t>*</w:t>
                          </w:r>
                          <w:bookmarkStart w:id="0" w:name="_GoBack"/>
                          <w:r>
                            <w:rPr>
                              <w:rFonts w:ascii="Code3of9" w:hAnsi="Code3of9" w:cs="Arial"/>
                              <w:sz w:val="40"/>
                              <w:szCs w:val="40"/>
                              <w:lang w:val="en-US"/>
                            </w:rPr>
                            <w:t>20184500176363</w:t>
                          </w:r>
                          <w:bookmarkEnd w:id="0"/>
                          <w:r>
                            <w:rPr>
                              <w:rFonts w:ascii="Code3of9" w:hAnsi="Code3of9" w:cs="Arial"/>
                              <w:sz w:val="40"/>
                              <w:szCs w:val="40"/>
                              <w:lang w:val="en-US"/>
                            </w:rPr>
                            <w:t>*</w:t>
                          </w:r>
                        </w:p>
                        <w:p w:rsidR="00B0403A" w:rsidRDefault="0010659B">
                          <w:pPr>
                            <w:pStyle w:val="Framecontents"/>
                            <w:rPr>
                              <w:rFonts w:ascii="Code3of9" w:hAnsi="Code3of9" w:cs="Code3of9"/>
                              <w:lang w:val="en-US"/>
                            </w:rPr>
                          </w:pPr>
                        </w:p>
                      </w:txbxContent>
                    </wps:txbx>
                    <wps:bodyPr vert="horz" wrap="square" lIns="92162" tIns="46442" rIns="92162" bIns="46442"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Marco1" o:spid="_x0000_s1026" type="#_x0000_t202" style="position:absolute;margin-left:297.45pt;margin-top:-9.95pt;width:204.75pt;height:63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" strokeweight=".02106mm">
              <v:textbox inset="2.56006mm,1.2901mm,2.56006mm,1.2901mm">
                <w:txbxContent>
                  <w:p w:rsidR="00B0403A" w:rsidRDefault="00C17E85">
                    <w:pPr>
                      <w:pStyle w:val="Framecontents"/>
                      <w:rPr>
                        <w:rFonts w:ascii="Arial" w:hAnsi="Arial" w:cs="Arial"/>
                      </w:rPr>
                    </w:pPr>
                    <w:r>
                      <w:rPr>
                        <w:rFonts w:ascii="Arial" w:hAnsi="Arial" w:cs="Arial"/>
                      </w:rPr>
                      <w:t>Radicado No. 20184500176363</w:t>
                    </w:r>
                  </w:p>
                  <w:p w:rsidR="00B0403A" w:rsidRDefault="00C17E85">
                    <w:pPr>
                      <w:pStyle w:val="Framecontents"/>
                      <w:rPr>
                        <w:rFonts w:ascii="Arial" w:hAnsi="Arial" w:cs="Arial"/>
                      </w:rPr>
                    </w:pPr>
                    <w:r>
                      <w:rPr>
                        <w:rFonts w:ascii="Arial" w:hAnsi="Arial" w:cs="Arial"/>
                      </w:rPr>
                      <w:t>Fecha: 20-04-2018</w:t>
                    </w:r>
                  </w:p>
                  <w:p w:rsidR="00B0403A" w:rsidRDefault="00C17E85">
                    <w:pPr>
                      <w:pStyle w:val="Framecontents"/>
                      <w:rPr>
                        <w:rFonts w:ascii="Code3of9" w:hAnsi="Code3of9" w:cs="Arial"/>
                        <w:sz w:val="40"/>
                        <w:szCs w:val="40"/>
                        <w:lang w:val="en-US"/>
                      </w:rPr>
                    </w:pPr>
                    <w:r>
                      <w:rPr>
                        <w:rFonts w:ascii="Code3of9" w:hAnsi="Code3of9" w:cs="Arial"/>
                        <w:sz w:val="40"/>
                        <w:szCs w:val="40"/>
                        <w:lang w:val="en-US"/>
                      </w:rPr>
                      <w:t>*</w:t>
                    </w:r>
                    <w:bookmarkStart w:id="1" w:name="_GoBack"/>
                    <w:r>
                      <w:rPr>
                        <w:rFonts w:ascii="Code3of9" w:hAnsi="Code3of9" w:cs="Arial"/>
                        <w:sz w:val="40"/>
                        <w:szCs w:val="40"/>
                        <w:lang w:val="en-US"/>
                      </w:rPr>
                      <w:t>20184500176363</w:t>
                    </w:r>
                    <w:bookmarkEnd w:id="1"/>
                    <w:r>
                      <w:rPr>
                        <w:rFonts w:ascii="Code3of9" w:hAnsi="Code3of9" w:cs="Arial"/>
                        <w:sz w:val="40"/>
                        <w:szCs w:val="40"/>
                        <w:lang w:val="en-US"/>
                      </w:rPr>
                      <w:t>*</w:t>
                    </w:r>
                  </w:p>
                  <w:p w:rsidR="00B0403A" w:rsidRDefault="0010659B">
                    <w:pPr>
                      <w:pStyle w:val="Framecontents"/>
                      <w:rPr>
                        <w:rFonts w:ascii="Code3of9" w:hAnsi="Code3of9" w:cs="Code3of9"/>
                        <w:lang w:val="en-US"/>
                      </w:rPr>
                    </w:pPr>
                  </w:p>
                </w:txbxContent>
              </v:textbox>
            </v:shape>
          </w:pict>
        </mc:Fallback>
      </mc:AlternateContent>
    </w:r>
    <w:r>
      <w:rPr>
        <w:noProof/>
        <w:lang w:val="es-CO" w:eastAsia="es-CO"/>
      </w:rPr>
      <w:drawing>
        <wp:anchor distT="0" distB="0" distL="114300" distR="114300" simplePos="0" relativeHeight="251660288" behindDoc="0" locked="0" layoutInCell="1" allowOverlap="1">
          <wp:simplePos x="0" y="0"/>
          <wp:positionH relativeFrom="column">
            <wp:posOffset>2206081</wp:posOffset>
          </wp:positionH>
          <wp:positionV relativeFrom="paragraph">
            <wp:posOffset>-83877</wp:posOffset>
          </wp:positionV>
          <wp:extent cx="1527121" cy="889555"/>
          <wp:effectExtent l="0" t="0" r="0" b="0"/>
          <wp:wrapSquare wrapText="bothSides"/>
          <wp:docPr id="2" name="Pictur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527121" cy="889555"/>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0165" w:rsidRDefault="0050016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0490F"/>
    <w:multiLevelType w:val="multilevel"/>
    <w:tmpl w:val="05A857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D8528C"/>
    <w:multiLevelType w:val="multilevel"/>
    <w:tmpl w:val="3AD2FCA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BEA2628"/>
    <w:multiLevelType w:val="hybridMultilevel"/>
    <w:tmpl w:val="4D5AFB70"/>
    <w:lvl w:ilvl="0" w:tplc="909E9E96">
      <w:start w:val="1"/>
      <w:numFmt w:val="lowerRoman"/>
      <w:lvlText w:val="(%1)"/>
      <w:lvlJc w:val="left"/>
      <w:pPr>
        <w:ind w:left="1571" w:hanging="720"/>
      </w:pPr>
      <w:rPr>
        <w:rFonts w:ascii="Garamond" w:eastAsia="Droid Sans" w:hAnsi="Garamond" w:cs="Lohit Hindi" w:hint="default"/>
        <w:sz w:val="23"/>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3" w15:restartNumberingAfterBreak="0">
    <w:nsid w:val="31E02D35"/>
    <w:multiLevelType w:val="multilevel"/>
    <w:tmpl w:val="2A7C33AA"/>
    <w:lvl w:ilvl="0">
      <w:start w:val="1"/>
      <w:numFmt w:val="decimal"/>
      <w:lvlText w:val="%1."/>
      <w:lvlJc w:val="left"/>
      <w:pPr>
        <w:ind w:left="720" w:hanging="360"/>
      </w:pPr>
      <w:rPr>
        <w:rFonts w:ascii="Times New Roman" w:hAnsi="Times New Roman" w:cs="Times New Roman"/>
        <w:color w:val="00000A"/>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21172B7"/>
    <w:multiLevelType w:val="hybridMultilevel"/>
    <w:tmpl w:val="B10E0280"/>
    <w:lvl w:ilvl="0" w:tplc="301AC1F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7904D56"/>
    <w:multiLevelType w:val="multilevel"/>
    <w:tmpl w:val="5CF82F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65160AA"/>
    <w:multiLevelType w:val="hybridMultilevel"/>
    <w:tmpl w:val="5516A3E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7" w15:restartNumberingAfterBreak="0">
    <w:nsid w:val="55532A51"/>
    <w:multiLevelType w:val="multilevel"/>
    <w:tmpl w:val="2A7C33AA"/>
    <w:lvl w:ilvl="0">
      <w:start w:val="1"/>
      <w:numFmt w:val="decimal"/>
      <w:lvlText w:val="%1."/>
      <w:lvlJc w:val="left"/>
      <w:pPr>
        <w:ind w:left="720" w:hanging="360"/>
      </w:pPr>
      <w:rPr>
        <w:rFonts w:ascii="Times New Roman" w:hAnsi="Times New Roman" w:cs="Times New Roman"/>
        <w:color w:val="00000A"/>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89210B3"/>
    <w:multiLevelType w:val="hybridMultilevel"/>
    <w:tmpl w:val="CCAC6DE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6F8223A3"/>
    <w:multiLevelType w:val="multilevel"/>
    <w:tmpl w:val="9D30C15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7"/>
  </w:num>
  <w:num w:numId="2">
    <w:abstractNumId w:val="4"/>
  </w:num>
  <w:num w:numId="3">
    <w:abstractNumId w:val="2"/>
  </w:num>
  <w:num w:numId="4">
    <w:abstractNumId w:val="3"/>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F53"/>
    <w:rsid w:val="00041315"/>
    <w:rsid w:val="000603D6"/>
    <w:rsid w:val="0009762F"/>
    <w:rsid w:val="000C5F43"/>
    <w:rsid w:val="000D69A1"/>
    <w:rsid w:val="000D7033"/>
    <w:rsid w:val="001047BA"/>
    <w:rsid w:val="00105ABA"/>
    <w:rsid w:val="0010659B"/>
    <w:rsid w:val="0011438A"/>
    <w:rsid w:val="001302EF"/>
    <w:rsid w:val="001414BD"/>
    <w:rsid w:val="00196698"/>
    <w:rsid w:val="001A116D"/>
    <w:rsid w:val="001A7094"/>
    <w:rsid w:val="001D0CB1"/>
    <w:rsid w:val="001E7DAE"/>
    <w:rsid w:val="002313B2"/>
    <w:rsid w:val="002E0C9F"/>
    <w:rsid w:val="0031574A"/>
    <w:rsid w:val="00340DA2"/>
    <w:rsid w:val="0034158D"/>
    <w:rsid w:val="003444BF"/>
    <w:rsid w:val="0035012D"/>
    <w:rsid w:val="0037430E"/>
    <w:rsid w:val="0039659A"/>
    <w:rsid w:val="003A0173"/>
    <w:rsid w:val="003E3CD7"/>
    <w:rsid w:val="00416878"/>
    <w:rsid w:val="00432FD4"/>
    <w:rsid w:val="00434715"/>
    <w:rsid w:val="00453DB0"/>
    <w:rsid w:val="004543E9"/>
    <w:rsid w:val="00493B84"/>
    <w:rsid w:val="004D32E3"/>
    <w:rsid w:val="004F226D"/>
    <w:rsid w:val="004F2ECA"/>
    <w:rsid w:val="00500165"/>
    <w:rsid w:val="005A16E7"/>
    <w:rsid w:val="005C2F53"/>
    <w:rsid w:val="005C6A69"/>
    <w:rsid w:val="0061422A"/>
    <w:rsid w:val="00676A0B"/>
    <w:rsid w:val="0069300A"/>
    <w:rsid w:val="006C700B"/>
    <w:rsid w:val="00737A3A"/>
    <w:rsid w:val="00743A02"/>
    <w:rsid w:val="007A4EFB"/>
    <w:rsid w:val="008364C6"/>
    <w:rsid w:val="008422CC"/>
    <w:rsid w:val="00866C4E"/>
    <w:rsid w:val="00886646"/>
    <w:rsid w:val="008B03FC"/>
    <w:rsid w:val="008B490F"/>
    <w:rsid w:val="008B5F01"/>
    <w:rsid w:val="008D0793"/>
    <w:rsid w:val="009249F6"/>
    <w:rsid w:val="009337B0"/>
    <w:rsid w:val="0097143F"/>
    <w:rsid w:val="00980807"/>
    <w:rsid w:val="0098397D"/>
    <w:rsid w:val="0099574A"/>
    <w:rsid w:val="009D3B04"/>
    <w:rsid w:val="00A06E53"/>
    <w:rsid w:val="00A629E2"/>
    <w:rsid w:val="00A818DB"/>
    <w:rsid w:val="00A862CF"/>
    <w:rsid w:val="00AC38F3"/>
    <w:rsid w:val="00AD5EEE"/>
    <w:rsid w:val="00AE3EBA"/>
    <w:rsid w:val="00B027AB"/>
    <w:rsid w:val="00BB348C"/>
    <w:rsid w:val="00BD775E"/>
    <w:rsid w:val="00BE4392"/>
    <w:rsid w:val="00BF2188"/>
    <w:rsid w:val="00C17E85"/>
    <w:rsid w:val="00C375DA"/>
    <w:rsid w:val="00C724A4"/>
    <w:rsid w:val="00C738A9"/>
    <w:rsid w:val="00C91B97"/>
    <w:rsid w:val="00C92065"/>
    <w:rsid w:val="00CD2D7A"/>
    <w:rsid w:val="00CF4AC9"/>
    <w:rsid w:val="00D04DF6"/>
    <w:rsid w:val="00D525C5"/>
    <w:rsid w:val="00D665B7"/>
    <w:rsid w:val="00D84FD5"/>
    <w:rsid w:val="00D86737"/>
    <w:rsid w:val="00DA046D"/>
    <w:rsid w:val="00DB361C"/>
    <w:rsid w:val="00DB7B80"/>
    <w:rsid w:val="00DF7440"/>
    <w:rsid w:val="00E02D06"/>
    <w:rsid w:val="00E17845"/>
    <w:rsid w:val="00E2603D"/>
    <w:rsid w:val="00E5687E"/>
    <w:rsid w:val="00E86873"/>
    <w:rsid w:val="00E9534B"/>
    <w:rsid w:val="00EB4D9B"/>
    <w:rsid w:val="00EE772A"/>
    <w:rsid w:val="00EF7D6F"/>
    <w:rsid w:val="00F002CB"/>
    <w:rsid w:val="00F36647"/>
    <w:rsid w:val="00F50C3D"/>
    <w:rsid w:val="00F96FDD"/>
    <w:rsid w:val="00FD0EA8"/>
    <w:rsid w:val="00FF324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2C97974-3033-42F5-A103-011382CF8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Droid Sans" w:hAnsi="Liberation Serif" w:cs="Lohit Hindi"/>
        <w:kern w:val="3"/>
        <w:szCs w:val="24"/>
        <w:lang w:val="es-CO" w:eastAsia="zh-CN" w:bidi="hi-IN"/>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uppressAutoHyphens/>
    </w:pPr>
  </w:style>
  <w:style w:type="paragraph" w:styleId="Ttulo1">
    <w:name w:val="heading 1"/>
    <w:basedOn w:val="Heading"/>
    <w:pPr>
      <w:outlineLvl w:val="0"/>
    </w:pPr>
  </w:style>
  <w:style w:type="paragraph" w:styleId="Ttulo2">
    <w:name w:val="heading 2"/>
    <w:basedOn w:val="Normal"/>
    <w:next w:val="Normal"/>
    <w:link w:val="Ttulo2Car"/>
    <w:uiPriority w:val="9"/>
    <w:unhideWhenUsed/>
    <w:qFormat/>
    <w:rsid w:val="00500165"/>
    <w:pPr>
      <w:keepNext/>
      <w:keepLines/>
      <w:spacing w:before="40"/>
      <w:outlineLvl w:val="1"/>
    </w:pPr>
    <w:rPr>
      <w:rFonts w:asciiTheme="majorHAnsi" w:eastAsiaTheme="majorEastAsia" w:hAnsiTheme="majorHAnsi" w:cs="Mangal"/>
      <w:color w:val="2E74B5" w:themeColor="accent1" w:themeShade="BF"/>
      <w:sz w:val="26"/>
      <w:szCs w:val="23"/>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widowControl/>
      <w:suppressAutoHyphens/>
    </w:pPr>
    <w:rPr>
      <w:rFonts w:ascii="Times New Roman" w:eastAsia="Times New Roman" w:hAnsi="Times New Roman" w:cs="Times New Roman"/>
      <w:color w:val="00000A"/>
      <w:szCs w:val="20"/>
      <w:lang w:val="es-ES" w:bidi="ar-SA"/>
    </w:rPr>
  </w:style>
  <w:style w:type="paragraph" w:customStyle="1" w:styleId="Heading">
    <w:name w:val="Heading"/>
    <w:basedOn w:val="Standard"/>
    <w:next w:val="Textbody"/>
    <w:pPr>
      <w:keepNext/>
      <w:spacing w:before="240" w:after="120"/>
    </w:pPr>
    <w:rPr>
      <w:rFonts w:ascii="Liberation Sans" w:eastAsia="Droid Sans" w:hAnsi="Liberation Sans" w:cs="Lohit Hindi"/>
      <w:sz w:val="28"/>
      <w:szCs w:val="28"/>
    </w:rPr>
  </w:style>
  <w:style w:type="paragraph" w:customStyle="1" w:styleId="Textbody">
    <w:name w:val="Text body"/>
    <w:basedOn w:val="Standard"/>
    <w:pPr>
      <w:spacing w:after="120" w:line="288" w:lineRule="auto"/>
    </w:pPr>
  </w:style>
  <w:style w:type="paragraph" w:styleId="Lista">
    <w:name w:val="List"/>
    <w:basedOn w:val="Textbody"/>
    <w:rPr>
      <w:rFonts w:cs="Lohit Hindi"/>
      <w:sz w:val="24"/>
    </w:rPr>
  </w:style>
  <w:style w:type="paragraph" w:styleId="Descripcin">
    <w:name w:val="caption"/>
    <w:basedOn w:val="Standard"/>
    <w:pPr>
      <w:suppressLineNumbers/>
      <w:spacing w:before="120" w:after="120"/>
    </w:pPr>
    <w:rPr>
      <w:rFonts w:cs="Lohit Hindi"/>
      <w:i/>
      <w:iCs/>
      <w:sz w:val="24"/>
      <w:szCs w:val="24"/>
    </w:rPr>
  </w:style>
  <w:style w:type="paragraph" w:customStyle="1" w:styleId="Index">
    <w:name w:val="Index"/>
    <w:basedOn w:val="Standard"/>
    <w:pPr>
      <w:suppressLineNumbers/>
    </w:pPr>
    <w:rPr>
      <w:rFonts w:cs="Lohit Hindi"/>
      <w:sz w:val="24"/>
    </w:rPr>
  </w:style>
  <w:style w:type="paragraph" w:styleId="Encabezado">
    <w:name w:val="header"/>
    <w:basedOn w:val="Standard"/>
    <w:pPr>
      <w:keepNext/>
      <w:tabs>
        <w:tab w:val="center" w:pos="4252"/>
        <w:tab w:val="right" w:pos="8504"/>
      </w:tabs>
      <w:spacing w:before="240" w:after="120"/>
    </w:pPr>
    <w:rPr>
      <w:rFonts w:ascii="Arial" w:eastAsia="Droid Sans" w:hAnsi="Arial" w:cs="Lohit Hindi"/>
      <w:sz w:val="28"/>
      <w:szCs w:val="28"/>
    </w:rPr>
  </w:style>
  <w:style w:type="paragraph" w:styleId="Piedepgina">
    <w:name w:val="footer"/>
    <w:basedOn w:val="Standard"/>
    <w:pPr>
      <w:tabs>
        <w:tab w:val="center" w:pos="4252"/>
        <w:tab w:val="right" w:pos="8504"/>
      </w:tabs>
    </w:pPr>
  </w:style>
  <w:style w:type="paragraph" w:customStyle="1" w:styleId="Framecontents">
    <w:name w:val="Frame contents"/>
    <w:basedOn w:val="Standard"/>
  </w:style>
  <w:style w:type="paragraph" w:customStyle="1" w:styleId="LO-Normal">
    <w:name w:val="LO-Normal"/>
    <w:pPr>
      <w:keepNext/>
      <w:pageBreakBefore/>
      <w:widowControl/>
      <w:shd w:val="clear" w:color="auto" w:fill="FFFFFF"/>
      <w:suppressAutoHyphens/>
      <w:overflowPunct w:val="0"/>
      <w:spacing w:line="100" w:lineRule="atLeast"/>
    </w:pPr>
    <w:rPr>
      <w:rFonts w:ascii="Times New Roman" w:eastAsia="Times New Roman" w:hAnsi="Times New Roman" w:cs="Times New Roman"/>
      <w:color w:val="00000A"/>
      <w:szCs w:val="20"/>
      <w:shd w:val="clear" w:color="auto" w:fill="FFFFFF"/>
      <w:lang w:val="es-ES" w:bidi="ar-SA"/>
    </w:rPr>
  </w:style>
  <w:style w:type="character" w:customStyle="1" w:styleId="Fuentedeprrafopredeter1">
    <w:name w:val="Fuente de párrafo predeter.1"/>
  </w:style>
  <w:style w:type="character" w:customStyle="1" w:styleId="StrongEmphasis">
    <w:name w:val="Strong Emphasis"/>
    <w:basedOn w:val="Fuentedeprrafopredeter1"/>
    <w:rPr>
      <w:b/>
      <w:bCs/>
    </w:rPr>
  </w:style>
  <w:style w:type="character" w:customStyle="1" w:styleId="Fuentedeprrafopredeter2">
    <w:name w:val="Fuente de párrafo predeter.2"/>
  </w:style>
  <w:style w:type="character" w:styleId="Refdecomentario">
    <w:name w:val="annotation reference"/>
    <w:rPr>
      <w:sz w:val="16"/>
      <w:szCs w:val="16"/>
    </w:rPr>
  </w:style>
  <w:style w:type="paragraph" w:styleId="Textocomentario">
    <w:name w:val="annotation text"/>
    <w:basedOn w:val="Normal"/>
    <w:pPr>
      <w:widowControl/>
      <w:suppressAutoHyphens w:val="0"/>
      <w:spacing w:after="160" w:line="249" w:lineRule="auto"/>
      <w:textAlignment w:val="auto"/>
    </w:pPr>
    <w:rPr>
      <w:rFonts w:ascii="Calibri" w:eastAsia="Calibri" w:hAnsi="Calibri" w:cs="Times New Roman"/>
      <w:kern w:val="0"/>
      <w:sz w:val="22"/>
      <w:szCs w:val="22"/>
      <w:lang w:eastAsia="es-CO" w:bidi="ar-SA"/>
    </w:rPr>
  </w:style>
  <w:style w:type="character" w:customStyle="1" w:styleId="TextocomentarioCar">
    <w:name w:val="Texto comentario Car"/>
    <w:basedOn w:val="Fuentedeprrafopredeter"/>
    <w:rPr>
      <w:rFonts w:ascii="Calibri" w:eastAsia="Calibri" w:hAnsi="Calibri" w:cs="Times New Roman"/>
      <w:kern w:val="0"/>
      <w:sz w:val="22"/>
      <w:szCs w:val="22"/>
      <w:lang w:eastAsia="es-CO" w:bidi="ar-SA"/>
    </w:rPr>
  </w:style>
  <w:style w:type="paragraph" w:styleId="Textodeglobo">
    <w:name w:val="Balloon Text"/>
    <w:basedOn w:val="Normal"/>
    <w:rPr>
      <w:rFonts w:ascii="Segoe UI" w:hAnsi="Segoe UI" w:cs="Mangal"/>
      <w:sz w:val="18"/>
      <w:szCs w:val="16"/>
    </w:rPr>
  </w:style>
  <w:style w:type="character" w:customStyle="1" w:styleId="TextodegloboCar">
    <w:name w:val="Texto de globo Car"/>
    <w:basedOn w:val="Fuentedeprrafopredeter"/>
    <w:rPr>
      <w:rFonts w:ascii="Segoe UI" w:hAnsi="Segoe UI" w:cs="Mangal"/>
      <w:sz w:val="18"/>
      <w:szCs w:val="16"/>
    </w:rPr>
  </w:style>
  <w:style w:type="paragraph" w:styleId="Textonotapie">
    <w:name w:val="footnote text"/>
    <w:aliases w:val="Footnote Text Char Char Char Char Char,Footnote Text Char Char Char Char,Footnote reference,FA Fu,Footnote Text Char Char Char,FA Fu Car Car,Footnote Text Cha,FA Fußnotentext,FA Fuﬂnotentext,Footnote Text Char,ft,ft1,ft Car,FA,Ref"/>
    <w:basedOn w:val="Normal"/>
    <w:link w:val="TextonotapieCar"/>
    <w:unhideWhenUsed/>
    <w:qFormat/>
    <w:rsid w:val="001A7094"/>
    <w:pPr>
      <w:widowControl/>
      <w:suppressAutoHyphens w:val="0"/>
      <w:autoSpaceDN/>
      <w:textAlignment w:val="auto"/>
    </w:pPr>
    <w:rPr>
      <w:rFonts w:ascii="Times New Roman" w:eastAsia="Times New Roman" w:hAnsi="Times New Roman" w:cs="Times New Roman"/>
      <w:kern w:val="0"/>
      <w:szCs w:val="20"/>
      <w:lang w:val="es-ES" w:eastAsia="es-ES" w:bidi="ar-SA"/>
    </w:rPr>
  </w:style>
  <w:style w:type="character" w:customStyle="1" w:styleId="TextonotapieCar">
    <w:name w:val="Texto nota pie Car"/>
    <w:aliases w:val="Footnote Text Char Char Char Char Char Car,Footnote Text Char Char Char Char Car,Footnote reference Car,FA Fu Car,Footnote Text Char Char Char Car,FA Fu Car Car Car,Footnote Text Cha Car,FA Fußnotentext Car,FA Fuﬂnotentext Car,ft Car1"/>
    <w:basedOn w:val="Fuentedeprrafopredeter"/>
    <w:link w:val="Textonotapie"/>
    <w:qFormat/>
    <w:rsid w:val="001A7094"/>
    <w:rPr>
      <w:rFonts w:ascii="Times New Roman" w:eastAsia="Times New Roman" w:hAnsi="Times New Roman" w:cs="Times New Roman"/>
      <w:kern w:val="0"/>
      <w:szCs w:val="20"/>
      <w:lang w:val="es-ES" w:eastAsia="es-ES" w:bidi="ar-SA"/>
    </w:rPr>
  </w:style>
  <w:style w:type="character" w:styleId="Refdenotaalpie">
    <w:name w:val="footnote reference"/>
    <w:aliases w:val="Ref. de nota al pie 2,referencia nota al pie,Nota de pie,Texto nota al pie,Appel note de bas de page,Texto de nota al pie,Pie de Página,FC,Texto de nota al pi,Footnotes refss,Footnote number,BVI fnr,f,4_G,16 Point,Superscript 6 Point"/>
    <w:basedOn w:val="Fuentedeprrafopredeter"/>
    <w:unhideWhenUsed/>
    <w:qFormat/>
    <w:rsid w:val="001A7094"/>
    <w:rPr>
      <w:vertAlign w:val="superscript"/>
    </w:rPr>
  </w:style>
  <w:style w:type="paragraph" w:styleId="Prrafodelista">
    <w:name w:val="List Paragraph"/>
    <w:aliases w:val="HOJA,Bolita,List Paragraph,Párrafo de lista4,BOLADEF,Párrafo de lista3,Párrafo de lista21,BOLA,Nivel 1 OS,Colorful List Accent 1,Colorful List - Accent 11,TITULO 2_CR"/>
    <w:basedOn w:val="Normal"/>
    <w:link w:val="PrrafodelistaCar"/>
    <w:uiPriority w:val="34"/>
    <w:qFormat/>
    <w:rsid w:val="0031574A"/>
    <w:pPr>
      <w:ind w:left="720"/>
      <w:contextualSpacing/>
    </w:pPr>
    <w:rPr>
      <w:rFonts w:cs="Mangal"/>
    </w:rPr>
  </w:style>
  <w:style w:type="paragraph" w:styleId="NormalWeb">
    <w:name w:val="Normal (Web)"/>
    <w:basedOn w:val="Normal"/>
    <w:uiPriority w:val="99"/>
    <w:unhideWhenUsed/>
    <w:rsid w:val="008B490F"/>
    <w:pPr>
      <w:widowControl/>
      <w:suppressAutoHyphens w:val="0"/>
      <w:autoSpaceDN/>
      <w:spacing w:before="100" w:beforeAutospacing="1" w:after="100" w:afterAutospacing="1"/>
      <w:textAlignment w:val="auto"/>
    </w:pPr>
    <w:rPr>
      <w:rFonts w:ascii="Times New Roman" w:eastAsia="Times New Roman" w:hAnsi="Times New Roman" w:cs="Times New Roman"/>
      <w:kern w:val="0"/>
      <w:sz w:val="24"/>
      <w:lang w:eastAsia="es-CO" w:bidi="ar-SA"/>
    </w:rPr>
  </w:style>
  <w:style w:type="character" w:customStyle="1" w:styleId="apple-converted-space">
    <w:name w:val="apple-converted-space"/>
    <w:basedOn w:val="Fuentedeprrafopredeter"/>
    <w:rsid w:val="008B490F"/>
  </w:style>
  <w:style w:type="paragraph" w:customStyle="1" w:styleId="Textoindependiente21">
    <w:name w:val="Texto independiente 21"/>
    <w:basedOn w:val="Normal"/>
    <w:rsid w:val="00041315"/>
    <w:pPr>
      <w:widowControl/>
      <w:suppressAutoHyphens w:val="0"/>
      <w:overflowPunct w:val="0"/>
      <w:autoSpaceDE w:val="0"/>
      <w:adjustRightInd w:val="0"/>
      <w:spacing w:line="360" w:lineRule="auto"/>
      <w:ind w:firstLine="1418"/>
      <w:jc w:val="both"/>
    </w:pPr>
    <w:rPr>
      <w:rFonts w:ascii="Arial" w:eastAsia="Times New Roman" w:hAnsi="Arial" w:cs="Times New Roman"/>
      <w:kern w:val="0"/>
      <w:sz w:val="24"/>
      <w:szCs w:val="20"/>
      <w:lang w:val="es-ES" w:eastAsia="es-ES" w:bidi="ar-SA"/>
    </w:rPr>
  </w:style>
  <w:style w:type="paragraph" w:styleId="Sinespaciado">
    <w:name w:val="No Spacing"/>
    <w:uiPriority w:val="1"/>
    <w:qFormat/>
    <w:rsid w:val="008D0793"/>
    <w:pPr>
      <w:widowControl/>
      <w:autoSpaceDN/>
      <w:textAlignment w:val="auto"/>
    </w:pPr>
    <w:rPr>
      <w:rFonts w:ascii="Calibri" w:eastAsia="Calibri" w:hAnsi="Calibri" w:cs="Times New Roman"/>
      <w:kern w:val="0"/>
      <w:sz w:val="22"/>
      <w:szCs w:val="22"/>
      <w:lang w:val="es-ES" w:eastAsia="en-US" w:bidi="ar-SA"/>
    </w:rPr>
  </w:style>
  <w:style w:type="table" w:styleId="Tablaconcuadrcula">
    <w:name w:val="Table Grid"/>
    <w:basedOn w:val="Tablanormal"/>
    <w:uiPriority w:val="59"/>
    <w:rsid w:val="008D0793"/>
    <w:pPr>
      <w:widowControl/>
      <w:autoSpaceDN/>
      <w:textAlignment w:val="auto"/>
    </w:pPr>
    <w:rPr>
      <w:rFonts w:ascii="Calibri" w:eastAsia="Calibri" w:hAnsi="Calibri" w:cs="Times New Roman"/>
      <w:kern w:val="0"/>
      <w:szCs w:val="20"/>
      <w:lang w:eastAsia="es-CO"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98397D"/>
    <w:rPr>
      <w:b/>
      <w:bCs/>
    </w:rPr>
  </w:style>
  <w:style w:type="character" w:styleId="nfasis">
    <w:name w:val="Emphasis"/>
    <w:basedOn w:val="Fuentedeprrafopredeter"/>
    <w:uiPriority w:val="20"/>
    <w:qFormat/>
    <w:rsid w:val="0098397D"/>
    <w:rPr>
      <w:i/>
      <w:iCs/>
    </w:rPr>
  </w:style>
  <w:style w:type="paragraph" w:styleId="Textoindependiente">
    <w:name w:val="Body Text"/>
    <w:basedOn w:val="Normal"/>
    <w:link w:val="TextoindependienteCar"/>
    <w:unhideWhenUsed/>
    <w:rsid w:val="008B03FC"/>
    <w:pPr>
      <w:widowControl/>
      <w:spacing w:after="120"/>
      <w:textAlignment w:val="auto"/>
    </w:pPr>
    <w:rPr>
      <w:rFonts w:ascii="Times New Roman" w:eastAsia="Times New Roman" w:hAnsi="Times New Roman" w:cs="Times New Roman"/>
      <w:kern w:val="0"/>
      <w:szCs w:val="20"/>
      <w:lang w:eastAsia="es-ES" w:bidi="ar-SA"/>
    </w:rPr>
  </w:style>
  <w:style w:type="character" w:customStyle="1" w:styleId="TextoindependienteCar">
    <w:name w:val="Texto independiente Car"/>
    <w:basedOn w:val="Fuentedeprrafopredeter"/>
    <w:link w:val="Textoindependiente"/>
    <w:rsid w:val="008B03FC"/>
    <w:rPr>
      <w:rFonts w:ascii="Times New Roman" w:eastAsia="Times New Roman" w:hAnsi="Times New Roman" w:cs="Times New Roman"/>
      <w:kern w:val="0"/>
      <w:szCs w:val="20"/>
      <w:lang w:eastAsia="es-ES" w:bidi="ar-SA"/>
    </w:r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TITULO 2_CR Car"/>
    <w:link w:val="Prrafodelista"/>
    <w:locked/>
    <w:rsid w:val="008B03FC"/>
    <w:rPr>
      <w:rFonts w:cs="Mangal"/>
    </w:rPr>
  </w:style>
  <w:style w:type="paragraph" w:customStyle="1" w:styleId="Normal1">
    <w:name w:val="Normal1"/>
    <w:rsid w:val="008B03FC"/>
    <w:pPr>
      <w:autoSpaceDN/>
      <w:textAlignment w:val="auto"/>
    </w:pPr>
    <w:rPr>
      <w:rFonts w:ascii="Arial Narrow" w:eastAsia="Arial Narrow" w:hAnsi="Arial Narrow" w:cs="Arial Narrow"/>
      <w:color w:val="000000"/>
      <w:kern w:val="0"/>
      <w:sz w:val="28"/>
      <w:szCs w:val="28"/>
      <w:lang w:eastAsia="es-CO" w:bidi="ar-SA"/>
    </w:rPr>
  </w:style>
  <w:style w:type="paragraph" w:customStyle="1" w:styleId="Textoindependiente22">
    <w:name w:val="Texto independiente 22"/>
    <w:basedOn w:val="Normal"/>
    <w:rsid w:val="008B03FC"/>
    <w:pPr>
      <w:widowControl/>
      <w:suppressAutoHyphens w:val="0"/>
      <w:overflowPunct w:val="0"/>
      <w:autoSpaceDE w:val="0"/>
      <w:adjustRightInd w:val="0"/>
      <w:spacing w:line="360" w:lineRule="auto"/>
      <w:ind w:firstLine="710"/>
      <w:jc w:val="both"/>
      <w:textAlignment w:val="auto"/>
    </w:pPr>
    <w:rPr>
      <w:rFonts w:ascii="Arial" w:eastAsia="Times New Roman" w:hAnsi="Arial" w:cs="Times New Roman"/>
      <w:kern w:val="0"/>
      <w:sz w:val="24"/>
      <w:szCs w:val="20"/>
      <w:lang w:eastAsia="es-ES" w:bidi="ar-SA"/>
    </w:rPr>
  </w:style>
  <w:style w:type="paragraph" w:customStyle="1" w:styleId="BodyText31">
    <w:name w:val="Body Text 31"/>
    <w:basedOn w:val="Normal"/>
    <w:rsid w:val="008B03FC"/>
    <w:pPr>
      <w:widowControl/>
      <w:suppressAutoHyphens w:val="0"/>
      <w:overflowPunct w:val="0"/>
      <w:autoSpaceDE w:val="0"/>
      <w:adjustRightInd w:val="0"/>
      <w:spacing w:line="360" w:lineRule="auto"/>
      <w:ind w:right="-284"/>
      <w:jc w:val="both"/>
      <w:textAlignment w:val="auto"/>
    </w:pPr>
    <w:rPr>
      <w:rFonts w:ascii="Garamond" w:eastAsia="Times New Roman" w:hAnsi="Garamond" w:cs="Times New Roman"/>
      <w:kern w:val="0"/>
      <w:sz w:val="28"/>
      <w:szCs w:val="20"/>
      <w:lang w:val="es-ES_tradnl" w:eastAsia="es-CO" w:bidi="ar-SA"/>
    </w:rPr>
  </w:style>
  <w:style w:type="character" w:customStyle="1" w:styleId="Ttulo2Car">
    <w:name w:val="Título 2 Car"/>
    <w:basedOn w:val="Fuentedeprrafopredeter"/>
    <w:link w:val="Ttulo2"/>
    <w:uiPriority w:val="9"/>
    <w:rsid w:val="00500165"/>
    <w:rPr>
      <w:rFonts w:asciiTheme="majorHAnsi" w:eastAsiaTheme="majorEastAsia" w:hAnsiTheme="majorHAnsi" w:cs="Mangal"/>
      <w:color w:val="2E74B5" w:themeColor="accent1" w:themeShade="BF"/>
      <w:sz w:val="26"/>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491183">
      <w:bodyDiv w:val="1"/>
      <w:marLeft w:val="0"/>
      <w:marRight w:val="0"/>
      <w:marTop w:val="0"/>
      <w:marBottom w:val="0"/>
      <w:divBdr>
        <w:top w:val="none" w:sz="0" w:space="0" w:color="auto"/>
        <w:left w:val="none" w:sz="0" w:space="0" w:color="auto"/>
        <w:bottom w:val="none" w:sz="0" w:space="0" w:color="auto"/>
        <w:right w:val="none" w:sz="0" w:space="0" w:color="auto"/>
      </w:divBdr>
      <w:divsChild>
        <w:div w:id="90468714">
          <w:marLeft w:val="0"/>
          <w:marRight w:val="0"/>
          <w:marTop w:val="0"/>
          <w:marBottom w:val="0"/>
          <w:divBdr>
            <w:top w:val="none" w:sz="0" w:space="0" w:color="auto"/>
            <w:left w:val="none" w:sz="0" w:space="0" w:color="auto"/>
            <w:bottom w:val="none" w:sz="0" w:space="0" w:color="auto"/>
            <w:right w:val="none" w:sz="0" w:space="0" w:color="auto"/>
          </w:divBdr>
        </w:div>
      </w:divsChild>
    </w:div>
    <w:div w:id="387454416">
      <w:bodyDiv w:val="1"/>
      <w:marLeft w:val="0"/>
      <w:marRight w:val="0"/>
      <w:marTop w:val="0"/>
      <w:marBottom w:val="0"/>
      <w:divBdr>
        <w:top w:val="none" w:sz="0" w:space="0" w:color="auto"/>
        <w:left w:val="none" w:sz="0" w:space="0" w:color="auto"/>
        <w:bottom w:val="none" w:sz="0" w:space="0" w:color="auto"/>
        <w:right w:val="none" w:sz="0" w:space="0" w:color="auto"/>
      </w:divBdr>
    </w:div>
    <w:div w:id="404956372">
      <w:bodyDiv w:val="1"/>
      <w:marLeft w:val="0"/>
      <w:marRight w:val="0"/>
      <w:marTop w:val="0"/>
      <w:marBottom w:val="0"/>
      <w:divBdr>
        <w:top w:val="none" w:sz="0" w:space="0" w:color="auto"/>
        <w:left w:val="none" w:sz="0" w:space="0" w:color="auto"/>
        <w:bottom w:val="none" w:sz="0" w:space="0" w:color="auto"/>
        <w:right w:val="none" w:sz="0" w:space="0" w:color="auto"/>
      </w:divBdr>
    </w:div>
    <w:div w:id="431821272">
      <w:bodyDiv w:val="1"/>
      <w:marLeft w:val="0"/>
      <w:marRight w:val="0"/>
      <w:marTop w:val="0"/>
      <w:marBottom w:val="0"/>
      <w:divBdr>
        <w:top w:val="none" w:sz="0" w:space="0" w:color="auto"/>
        <w:left w:val="none" w:sz="0" w:space="0" w:color="auto"/>
        <w:bottom w:val="none" w:sz="0" w:space="0" w:color="auto"/>
        <w:right w:val="none" w:sz="0" w:space="0" w:color="auto"/>
      </w:divBdr>
    </w:div>
    <w:div w:id="873420287">
      <w:bodyDiv w:val="1"/>
      <w:marLeft w:val="0"/>
      <w:marRight w:val="0"/>
      <w:marTop w:val="0"/>
      <w:marBottom w:val="0"/>
      <w:divBdr>
        <w:top w:val="none" w:sz="0" w:space="0" w:color="auto"/>
        <w:left w:val="none" w:sz="0" w:space="0" w:color="auto"/>
        <w:bottom w:val="none" w:sz="0" w:space="0" w:color="auto"/>
        <w:right w:val="none" w:sz="0" w:space="0" w:color="auto"/>
      </w:divBdr>
    </w:div>
    <w:div w:id="1123690993">
      <w:bodyDiv w:val="1"/>
      <w:marLeft w:val="0"/>
      <w:marRight w:val="0"/>
      <w:marTop w:val="0"/>
      <w:marBottom w:val="0"/>
      <w:divBdr>
        <w:top w:val="none" w:sz="0" w:space="0" w:color="auto"/>
        <w:left w:val="none" w:sz="0" w:space="0" w:color="auto"/>
        <w:bottom w:val="none" w:sz="0" w:space="0" w:color="auto"/>
        <w:right w:val="none" w:sz="0" w:space="0" w:color="auto"/>
      </w:divBdr>
    </w:div>
    <w:div w:id="1249778007">
      <w:bodyDiv w:val="1"/>
      <w:marLeft w:val="0"/>
      <w:marRight w:val="0"/>
      <w:marTop w:val="0"/>
      <w:marBottom w:val="0"/>
      <w:divBdr>
        <w:top w:val="none" w:sz="0" w:space="0" w:color="auto"/>
        <w:left w:val="none" w:sz="0" w:space="0" w:color="auto"/>
        <w:bottom w:val="none" w:sz="0" w:space="0" w:color="auto"/>
        <w:right w:val="none" w:sz="0" w:space="0" w:color="auto"/>
      </w:divBdr>
    </w:div>
    <w:div w:id="1393044966">
      <w:bodyDiv w:val="1"/>
      <w:marLeft w:val="0"/>
      <w:marRight w:val="0"/>
      <w:marTop w:val="0"/>
      <w:marBottom w:val="0"/>
      <w:divBdr>
        <w:top w:val="none" w:sz="0" w:space="0" w:color="auto"/>
        <w:left w:val="none" w:sz="0" w:space="0" w:color="auto"/>
        <w:bottom w:val="none" w:sz="0" w:space="0" w:color="auto"/>
        <w:right w:val="none" w:sz="0" w:space="0" w:color="auto"/>
      </w:divBdr>
    </w:div>
    <w:div w:id="1479834503">
      <w:bodyDiv w:val="1"/>
      <w:marLeft w:val="0"/>
      <w:marRight w:val="0"/>
      <w:marTop w:val="0"/>
      <w:marBottom w:val="0"/>
      <w:divBdr>
        <w:top w:val="none" w:sz="0" w:space="0" w:color="auto"/>
        <w:left w:val="none" w:sz="0" w:space="0" w:color="auto"/>
        <w:bottom w:val="none" w:sz="0" w:space="0" w:color="auto"/>
        <w:right w:val="none" w:sz="0" w:space="0" w:color="auto"/>
      </w:divBdr>
    </w:div>
    <w:div w:id="1793203402">
      <w:bodyDiv w:val="1"/>
      <w:marLeft w:val="0"/>
      <w:marRight w:val="0"/>
      <w:marTop w:val="0"/>
      <w:marBottom w:val="0"/>
      <w:divBdr>
        <w:top w:val="none" w:sz="0" w:space="0" w:color="auto"/>
        <w:left w:val="none" w:sz="0" w:space="0" w:color="auto"/>
        <w:bottom w:val="none" w:sz="0" w:space="0" w:color="auto"/>
        <w:right w:val="none" w:sz="0" w:space="0" w:color="auto"/>
      </w:divBdr>
    </w:div>
    <w:div w:id="20054708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A81EC-AE62-49F3-BE99-1E1B21A41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4512</Words>
  <Characters>24820</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Rafael.Arevalo</dc:creator>
  <cp:lastModifiedBy>Sandra Mary Pereira Lizcano</cp:lastModifiedBy>
  <cp:revision>2</cp:revision>
  <cp:lastPrinted>2017-12-04T20:04:00Z</cp:lastPrinted>
  <dcterms:created xsi:type="dcterms:W3CDTF">2018-10-31T19:34:00Z</dcterms:created>
  <dcterms:modified xsi:type="dcterms:W3CDTF">2018-10-31T19:34:00Z</dcterms:modified>
</cp:coreProperties>
</file>