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D7E" w:rsidRPr="00B908AA" w:rsidRDefault="00A85D7E" w:rsidP="00A85D7E">
      <w:pPr>
        <w:autoSpaceDE w:val="0"/>
        <w:autoSpaceDN w:val="0"/>
        <w:adjustRightInd w:val="0"/>
        <w:spacing w:after="0" w:line="240" w:lineRule="auto"/>
        <w:jc w:val="center"/>
        <w:rPr>
          <w:rFonts w:ascii="Arial Narrow" w:hAnsi="Arial Narrow" w:cs="Garamond"/>
          <w:b/>
          <w:color w:val="4D4D4D"/>
          <w:sz w:val="24"/>
          <w:szCs w:val="24"/>
        </w:rPr>
      </w:pPr>
    </w:p>
    <w:p w:rsidR="00A85D7E" w:rsidRPr="00B908AA" w:rsidRDefault="00A85D7E" w:rsidP="00A85D7E">
      <w:pPr>
        <w:autoSpaceDE w:val="0"/>
        <w:autoSpaceDN w:val="0"/>
        <w:adjustRightInd w:val="0"/>
        <w:spacing w:after="0" w:line="240" w:lineRule="auto"/>
        <w:jc w:val="center"/>
        <w:rPr>
          <w:rFonts w:ascii="Arial Narrow" w:hAnsi="Arial Narrow" w:cs="Garamond"/>
          <w:b/>
          <w:color w:val="4D4D4D"/>
          <w:sz w:val="24"/>
          <w:szCs w:val="24"/>
        </w:rPr>
      </w:pPr>
      <w:r w:rsidRPr="00B908AA">
        <w:rPr>
          <w:rFonts w:ascii="Arial Narrow" w:hAnsi="Arial Narrow" w:cs="Garamond"/>
          <w:b/>
          <w:color w:val="4D4D4D"/>
          <w:sz w:val="24"/>
          <w:szCs w:val="24"/>
        </w:rPr>
        <w:t>BOGOTÁ, D.C.</w:t>
      </w:r>
    </w:p>
    <w:p w:rsidR="00A85D7E" w:rsidRPr="00B908AA" w:rsidRDefault="00A85D7E" w:rsidP="00A85D7E">
      <w:pPr>
        <w:autoSpaceDE w:val="0"/>
        <w:autoSpaceDN w:val="0"/>
        <w:adjustRightInd w:val="0"/>
        <w:spacing w:after="0" w:line="240" w:lineRule="auto"/>
        <w:jc w:val="center"/>
        <w:rPr>
          <w:rFonts w:ascii="Arial Narrow" w:hAnsi="Arial Narrow" w:cs="Garamond"/>
          <w:b/>
          <w:color w:val="4D4D4D"/>
          <w:sz w:val="24"/>
          <w:szCs w:val="24"/>
        </w:rPr>
      </w:pPr>
    </w:p>
    <w:p w:rsidR="00A85D7E" w:rsidRPr="00B908AA" w:rsidRDefault="00A85D7E" w:rsidP="00A85D7E">
      <w:pPr>
        <w:autoSpaceDE w:val="0"/>
        <w:autoSpaceDN w:val="0"/>
        <w:adjustRightInd w:val="0"/>
        <w:spacing w:after="0" w:line="240" w:lineRule="auto"/>
        <w:jc w:val="center"/>
        <w:rPr>
          <w:rFonts w:ascii="Arial Narrow" w:hAnsi="Arial Narrow" w:cs="Garamond"/>
          <w:b/>
          <w:color w:val="4D4D4D"/>
          <w:sz w:val="24"/>
          <w:szCs w:val="24"/>
        </w:rPr>
      </w:pPr>
    </w:p>
    <w:p w:rsidR="00A85D7E" w:rsidRPr="00B908AA" w:rsidRDefault="00A85D7E" w:rsidP="00A85D7E">
      <w:pPr>
        <w:autoSpaceDE w:val="0"/>
        <w:autoSpaceDN w:val="0"/>
        <w:adjustRightInd w:val="0"/>
        <w:spacing w:after="0" w:line="240" w:lineRule="auto"/>
        <w:jc w:val="center"/>
        <w:rPr>
          <w:rFonts w:ascii="Arial Narrow" w:hAnsi="Arial Narrow" w:cs="Garamond"/>
          <w:b/>
          <w:color w:val="4D4D4D"/>
          <w:sz w:val="24"/>
          <w:szCs w:val="24"/>
        </w:rPr>
      </w:pPr>
    </w:p>
    <w:p w:rsidR="0050008B" w:rsidRPr="00B908AA" w:rsidRDefault="0050008B" w:rsidP="00A85D7E">
      <w:pPr>
        <w:autoSpaceDE w:val="0"/>
        <w:autoSpaceDN w:val="0"/>
        <w:adjustRightInd w:val="0"/>
        <w:spacing w:after="0" w:line="240" w:lineRule="auto"/>
        <w:jc w:val="center"/>
        <w:rPr>
          <w:rFonts w:ascii="Arial Narrow" w:hAnsi="Arial Narrow" w:cs="Garamond"/>
          <w:b/>
          <w:color w:val="4D4D4D"/>
          <w:sz w:val="24"/>
          <w:szCs w:val="24"/>
        </w:rPr>
      </w:pPr>
    </w:p>
    <w:p w:rsidR="00A85D7E" w:rsidRPr="00B908AA" w:rsidRDefault="00A85D7E" w:rsidP="00A85D7E">
      <w:pPr>
        <w:autoSpaceDE w:val="0"/>
        <w:autoSpaceDN w:val="0"/>
        <w:adjustRightInd w:val="0"/>
        <w:spacing w:after="0" w:line="240" w:lineRule="auto"/>
        <w:jc w:val="center"/>
        <w:rPr>
          <w:rFonts w:ascii="Arial Narrow" w:hAnsi="Arial Narrow" w:cs="Garamond"/>
          <w:b/>
          <w:color w:val="4D4D4D"/>
          <w:sz w:val="24"/>
          <w:szCs w:val="24"/>
        </w:rPr>
      </w:pPr>
    </w:p>
    <w:p w:rsidR="00A85D7E" w:rsidRPr="00B908AA" w:rsidRDefault="00A85D7E" w:rsidP="00A85D7E">
      <w:pPr>
        <w:autoSpaceDE w:val="0"/>
        <w:autoSpaceDN w:val="0"/>
        <w:adjustRightInd w:val="0"/>
        <w:spacing w:after="0" w:line="240" w:lineRule="auto"/>
        <w:jc w:val="center"/>
        <w:rPr>
          <w:rFonts w:ascii="Arial Narrow" w:hAnsi="Arial Narrow" w:cs="Garamond"/>
          <w:b/>
          <w:color w:val="4D4D4D"/>
          <w:sz w:val="24"/>
          <w:szCs w:val="24"/>
        </w:rPr>
      </w:pPr>
    </w:p>
    <w:p w:rsidR="00A85D7E" w:rsidRPr="00B908AA" w:rsidRDefault="00A85D7E" w:rsidP="00A85D7E">
      <w:pPr>
        <w:autoSpaceDE w:val="0"/>
        <w:autoSpaceDN w:val="0"/>
        <w:adjustRightInd w:val="0"/>
        <w:spacing w:after="0" w:line="240" w:lineRule="auto"/>
        <w:jc w:val="center"/>
        <w:rPr>
          <w:rFonts w:ascii="Arial Narrow" w:hAnsi="Arial Narrow" w:cs="Garamond"/>
          <w:b/>
          <w:color w:val="4D4D4D"/>
          <w:sz w:val="24"/>
          <w:szCs w:val="24"/>
        </w:rPr>
      </w:pPr>
    </w:p>
    <w:p w:rsidR="00A85D7E" w:rsidRPr="00B908AA" w:rsidRDefault="00A85D7E" w:rsidP="00932643">
      <w:pPr>
        <w:autoSpaceDE w:val="0"/>
        <w:autoSpaceDN w:val="0"/>
        <w:adjustRightInd w:val="0"/>
        <w:spacing w:after="0" w:line="240" w:lineRule="auto"/>
        <w:jc w:val="center"/>
        <w:rPr>
          <w:rFonts w:ascii="Arial Narrow" w:hAnsi="Arial Narrow" w:cs="Garamond"/>
          <w:b/>
          <w:color w:val="4D4D4D"/>
          <w:sz w:val="24"/>
          <w:szCs w:val="24"/>
        </w:rPr>
      </w:pPr>
      <w:r w:rsidRPr="00B908AA">
        <w:rPr>
          <w:rFonts w:ascii="Arial Narrow" w:hAnsi="Arial Narrow" w:cs="Garamond"/>
          <w:b/>
          <w:color w:val="4D4D4D"/>
          <w:sz w:val="24"/>
          <w:szCs w:val="24"/>
        </w:rPr>
        <w:t>SECRETARÍA DISTRITAL DE GOBIERNO</w:t>
      </w:r>
    </w:p>
    <w:p w:rsidR="00A85D7E" w:rsidRPr="00B908AA" w:rsidRDefault="00A85D7E" w:rsidP="00932643">
      <w:pPr>
        <w:autoSpaceDE w:val="0"/>
        <w:autoSpaceDN w:val="0"/>
        <w:adjustRightInd w:val="0"/>
        <w:spacing w:after="0" w:line="240" w:lineRule="auto"/>
        <w:jc w:val="center"/>
        <w:rPr>
          <w:rFonts w:ascii="Arial Narrow" w:hAnsi="Arial Narrow" w:cs="Garamond"/>
          <w:b/>
          <w:color w:val="4D4D4D"/>
          <w:sz w:val="24"/>
          <w:szCs w:val="24"/>
        </w:rPr>
      </w:pPr>
    </w:p>
    <w:p w:rsidR="00A85D7E" w:rsidRPr="00B908AA" w:rsidRDefault="00A85D7E" w:rsidP="00932643">
      <w:pPr>
        <w:autoSpaceDE w:val="0"/>
        <w:autoSpaceDN w:val="0"/>
        <w:adjustRightInd w:val="0"/>
        <w:spacing w:after="0" w:line="240" w:lineRule="auto"/>
        <w:jc w:val="center"/>
        <w:rPr>
          <w:rFonts w:ascii="Arial Narrow" w:hAnsi="Arial Narrow" w:cs="Garamond"/>
          <w:b/>
          <w:color w:val="4D4D4D"/>
          <w:sz w:val="24"/>
          <w:szCs w:val="24"/>
        </w:rPr>
      </w:pPr>
    </w:p>
    <w:p w:rsidR="00A85D7E" w:rsidRPr="00B908AA" w:rsidRDefault="00A85D7E" w:rsidP="00932643">
      <w:pPr>
        <w:autoSpaceDE w:val="0"/>
        <w:autoSpaceDN w:val="0"/>
        <w:adjustRightInd w:val="0"/>
        <w:spacing w:after="0" w:line="240" w:lineRule="auto"/>
        <w:jc w:val="center"/>
        <w:rPr>
          <w:rFonts w:ascii="Arial Narrow" w:hAnsi="Arial Narrow" w:cs="Garamond"/>
          <w:b/>
          <w:color w:val="4D4D4D"/>
          <w:sz w:val="24"/>
          <w:szCs w:val="24"/>
        </w:rPr>
      </w:pPr>
    </w:p>
    <w:p w:rsidR="00A85D7E" w:rsidRPr="00B908AA" w:rsidRDefault="00A85D7E" w:rsidP="00932643">
      <w:pPr>
        <w:autoSpaceDE w:val="0"/>
        <w:autoSpaceDN w:val="0"/>
        <w:adjustRightInd w:val="0"/>
        <w:spacing w:after="0" w:line="240" w:lineRule="auto"/>
        <w:jc w:val="center"/>
        <w:rPr>
          <w:rFonts w:ascii="Arial Narrow" w:hAnsi="Arial Narrow" w:cs="Garamond"/>
          <w:b/>
          <w:color w:val="4D4D4D"/>
          <w:sz w:val="24"/>
          <w:szCs w:val="24"/>
        </w:rPr>
      </w:pPr>
    </w:p>
    <w:p w:rsidR="00A85D7E" w:rsidRPr="00B908AA" w:rsidRDefault="00A85D7E" w:rsidP="00932643">
      <w:pPr>
        <w:autoSpaceDE w:val="0"/>
        <w:autoSpaceDN w:val="0"/>
        <w:adjustRightInd w:val="0"/>
        <w:spacing w:after="0" w:line="240" w:lineRule="auto"/>
        <w:jc w:val="center"/>
        <w:rPr>
          <w:rFonts w:ascii="Arial Narrow" w:hAnsi="Arial Narrow" w:cs="Garamond"/>
          <w:b/>
          <w:color w:val="4D4D4D"/>
          <w:sz w:val="24"/>
          <w:szCs w:val="24"/>
        </w:rPr>
      </w:pPr>
    </w:p>
    <w:p w:rsidR="00A85D7E" w:rsidRPr="00B908AA" w:rsidRDefault="00A85D7E" w:rsidP="00932643">
      <w:pPr>
        <w:autoSpaceDE w:val="0"/>
        <w:autoSpaceDN w:val="0"/>
        <w:adjustRightInd w:val="0"/>
        <w:spacing w:after="0" w:line="240" w:lineRule="auto"/>
        <w:jc w:val="center"/>
        <w:rPr>
          <w:rFonts w:ascii="Arial Narrow" w:hAnsi="Arial Narrow" w:cs="Garamond"/>
          <w:b/>
          <w:color w:val="4D4D4D"/>
          <w:sz w:val="24"/>
          <w:szCs w:val="24"/>
        </w:rPr>
      </w:pPr>
    </w:p>
    <w:p w:rsidR="00A85D7E" w:rsidRPr="00B908AA" w:rsidRDefault="00A85D7E" w:rsidP="00932643">
      <w:pPr>
        <w:autoSpaceDE w:val="0"/>
        <w:autoSpaceDN w:val="0"/>
        <w:adjustRightInd w:val="0"/>
        <w:spacing w:after="0" w:line="240" w:lineRule="auto"/>
        <w:jc w:val="center"/>
        <w:rPr>
          <w:rFonts w:ascii="Arial Narrow" w:hAnsi="Arial Narrow" w:cs="Garamond"/>
          <w:b/>
          <w:color w:val="4D4D4D"/>
          <w:sz w:val="24"/>
          <w:szCs w:val="24"/>
        </w:rPr>
      </w:pPr>
      <w:r w:rsidRPr="00B908AA">
        <w:rPr>
          <w:rFonts w:ascii="Arial Narrow" w:hAnsi="Arial Narrow" w:cs="Garamond"/>
          <w:b/>
          <w:color w:val="4D4D4D"/>
          <w:sz w:val="24"/>
          <w:szCs w:val="24"/>
        </w:rPr>
        <w:t>CONCEPTOS JURÍDICOS CONTRACTUALES</w:t>
      </w:r>
    </w:p>
    <w:p w:rsidR="00A85D7E" w:rsidRPr="00B908AA" w:rsidRDefault="00A85D7E" w:rsidP="00932643">
      <w:pPr>
        <w:autoSpaceDE w:val="0"/>
        <w:autoSpaceDN w:val="0"/>
        <w:adjustRightInd w:val="0"/>
        <w:spacing w:after="0" w:line="240" w:lineRule="auto"/>
        <w:jc w:val="center"/>
        <w:rPr>
          <w:rFonts w:ascii="Arial Narrow" w:hAnsi="Arial Narrow" w:cs="Garamond"/>
          <w:color w:val="4D4D4D"/>
          <w:sz w:val="24"/>
          <w:szCs w:val="24"/>
        </w:rPr>
      </w:pPr>
    </w:p>
    <w:p w:rsidR="00E86C3F" w:rsidRDefault="00E86C3F" w:rsidP="00932643">
      <w:pPr>
        <w:autoSpaceDE w:val="0"/>
        <w:autoSpaceDN w:val="0"/>
        <w:adjustRightInd w:val="0"/>
        <w:spacing w:after="0" w:line="240" w:lineRule="auto"/>
        <w:jc w:val="center"/>
        <w:rPr>
          <w:rFonts w:ascii="Arial Narrow" w:hAnsi="Arial Narrow" w:cs="Garamond"/>
          <w:b/>
          <w:color w:val="4D4D4D"/>
          <w:sz w:val="24"/>
          <w:szCs w:val="24"/>
        </w:rPr>
      </w:pPr>
    </w:p>
    <w:p w:rsidR="00C45F27" w:rsidRPr="00B908AA" w:rsidRDefault="00C45F27" w:rsidP="00932643">
      <w:pPr>
        <w:autoSpaceDE w:val="0"/>
        <w:autoSpaceDN w:val="0"/>
        <w:adjustRightInd w:val="0"/>
        <w:spacing w:after="0" w:line="240" w:lineRule="auto"/>
        <w:jc w:val="center"/>
        <w:rPr>
          <w:rFonts w:ascii="Arial Narrow" w:hAnsi="Arial Narrow" w:cs="Garamond"/>
          <w:b/>
          <w:color w:val="4D4D4D"/>
          <w:sz w:val="24"/>
          <w:szCs w:val="24"/>
        </w:rPr>
      </w:pPr>
    </w:p>
    <w:p w:rsidR="007B6DEC" w:rsidRPr="00B908AA" w:rsidRDefault="007B6DEC" w:rsidP="00932643">
      <w:pPr>
        <w:autoSpaceDE w:val="0"/>
        <w:autoSpaceDN w:val="0"/>
        <w:adjustRightInd w:val="0"/>
        <w:spacing w:after="0" w:line="240" w:lineRule="auto"/>
        <w:jc w:val="center"/>
        <w:rPr>
          <w:rFonts w:ascii="Arial Narrow" w:hAnsi="Arial Narrow" w:cs="Garamond"/>
          <w:b/>
          <w:color w:val="4D4D4D"/>
          <w:sz w:val="24"/>
          <w:szCs w:val="24"/>
        </w:rPr>
      </w:pPr>
    </w:p>
    <w:p w:rsidR="00A85D7E" w:rsidRPr="00B908AA" w:rsidRDefault="00E86C3F" w:rsidP="00932643">
      <w:pPr>
        <w:autoSpaceDE w:val="0"/>
        <w:autoSpaceDN w:val="0"/>
        <w:adjustRightInd w:val="0"/>
        <w:spacing w:after="0" w:line="240" w:lineRule="auto"/>
        <w:jc w:val="center"/>
        <w:rPr>
          <w:rFonts w:ascii="Arial Narrow" w:hAnsi="Arial Narrow" w:cs="Garamond"/>
          <w:b/>
          <w:color w:val="4D4D4D"/>
          <w:sz w:val="24"/>
          <w:szCs w:val="24"/>
        </w:rPr>
      </w:pPr>
      <w:r w:rsidRPr="00B908AA">
        <w:rPr>
          <w:rFonts w:ascii="Arial Narrow" w:hAnsi="Arial Narrow" w:cs="Garamond"/>
          <w:b/>
          <w:color w:val="4D4D4D"/>
          <w:sz w:val="24"/>
          <w:szCs w:val="24"/>
        </w:rPr>
        <w:t>SEGUNDA ENTREGA</w:t>
      </w:r>
    </w:p>
    <w:p w:rsidR="00A85D7E" w:rsidRPr="00B908AA" w:rsidRDefault="00A85D7E" w:rsidP="00932643">
      <w:pPr>
        <w:autoSpaceDE w:val="0"/>
        <w:autoSpaceDN w:val="0"/>
        <w:adjustRightInd w:val="0"/>
        <w:spacing w:after="0" w:line="240" w:lineRule="auto"/>
        <w:jc w:val="center"/>
        <w:rPr>
          <w:rFonts w:ascii="Arial Narrow" w:hAnsi="Arial Narrow" w:cs="Garamond"/>
          <w:color w:val="4D4D4D"/>
          <w:sz w:val="24"/>
          <w:szCs w:val="24"/>
        </w:rPr>
      </w:pPr>
    </w:p>
    <w:p w:rsidR="007E567F" w:rsidRPr="00B908AA" w:rsidRDefault="007E567F" w:rsidP="00A85D7E">
      <w:pPr>
        <w:autoSpaceDE w:val="0"/>
        <w:autoSpaceDN w:val="0"/>
        <w:adjustRightInd w:val="0"/>
        <w:spacing w:after="0" w:line="240" w:lineRule="auto"/>
        <w:rPr>
          <w:rFonts w:ascii="Arial Narrow" w:hAnsi="Arial Narrow" w:cs="Garamond"/>
          <w:color w:val="4D4D4D"/>
          <w:sz w:val="24"/>
          <w:szCs w:val="24"/>
        </w:rPr>
      </w:pPr>
    </w:p>
    <w:p w:rsidR="007E567F" w:rsidRPr="00B908AA" w:rsidRDefault="007E567F" w:rsidP="00A85D7E">
      <w:pPr>
        <w:autoSpaceDE w:val="0"/>
        <w:autoSpaceDN w:val="0"/>
        <w:adjustRightInd w:val="0"/>
        <w:spacing w:after="0" w:line="240" w:lineRule="auto"/>
        <w:rPr>
          <w:rFonts w:ascii="Arial Narrow" w:hAnsi="Arial Narrow" w:cs="Garamond"/>
          <w:color w:val="4D4D4D"/>
          <w:sz w:val="24"/>
          <w:szCs w:val="24"/>
        </w:rPr>
      </w:pPr>
    </w:p>
    <w:p w:rsidR="007E567F" w:rsidRDefault="007E567F" w:rsidP="00A85D7E">
      <w:pPr>
        <w:autoSpaceDE w:val="0"/>
        <w:autoSpaceDN w:val="0"/>
        <w:adjustRightInd w:val="0"/>
        <w:spacing w:after="0" w:line="240" w:lineRule="auto"/>
        <w:rPr>
          <w:rFonts w:ascii="Arial Narrow" w:hAnsi="Arial Narrow" w:cs="Garamond"/>
          <w:color w:val="4D4D4D"/>
          <w:sz w:val="24"/>
          <w:szCs w:val="24"/>
        </w:rPr>
      </w:pPr>
    </w:p>
    <w:p w:rsidR="00932643" w:rsidRDefault="00932643" w:rsidP="00A85D7E">
      <w:pPr>
        <w:autoSpaceDE w:val="0"/>
        <w:autoSpaceDN w:val="0"/>
        <w:adjustRightInd w:val="0"/>
        <w:spacing w:after="0" w:line="240" w:lineRule="auto"/>
        <w:rPr>
          <w:rFonts w:ascii="Arial Narrow" w:hAnsi="Arial Narrow" w:cs="Garamond"/>
          <w:color w:val="4D4D4D"/>
          <w:sz w:val="24"/>
          <w:szCs w:val="24"/>
        </w:rPr>
      </w:pPr>
    </w:p>
    <w:p w:rsidR="00932643" w:rsidRPr="00B908AA" w:rsidRDefault="00932643" w:rsidP="00A85D7E">
      <w:pPr>
        <w:autoSpaceDE w:val="0"/>
        <w:autoSpaceDN w:val="0"/>
        <w:adjustRightInd w:val="0"/>
        <w:spacing w:after="0" w:line="240" w:lineRule="auto"/>
        <w:rPr>
          <w:rFonts w:ascii="Arial Narrow" w:hAnsi="Arial Narrow" w:cs="Garamond"/>
          <w:color w:val="4D4D4D"/>
          <w:sz w:val="24"/>
          <w:szCs w:val="24"/>
        </w:rPr>
      </w:pPr>
    </w:p>
    <w:p w:rsidR="007E567F" w:rsidRPr="00B908AA" w:rsidRDefault="007E567F" w:rsidP="00A85D7E">
      <w:pPr>
        <w:autoSpaceDE w:val="0"/>
        <w:autoSpaceDN w:val="0"/>
        <w:adjustRightInd w:val="0"/>
        <w:spacing w:after="0" w:line="240" w:lineRule="auto"/>
        <w:rPr>
          <w:rFonts w:ascii="Arial Narrow" w:hAnsi="Arial Narrow" w:cs="Garamond"/>
          <w:color w:val="4D4D4D"/>
          <w:sz w:val="24"/>
          <w:szCs w:val="24"/>
        </w:rPr>
      </w:pPr>
      <w:r w:rsidRPr="00B908AA">
        <w:rPr>
          <w:rFonts w:ascii="Arial Narrow" w:hAnsi="Arial Narrow" w:cs="Garamond"/>
          <w:color w:val="4D4D4D"/>
          <w:sz w:val="24"/>
          <w:szCs w:val="24"/>
        </w:rPr>
        <w:t>Bogotá, D.C.- Colombia</w:t>
      </w:r>
    </w:p>
    <w:p w:rsidR="007E567F" w:rsidRPr="00B908AA" w:rsidRDefault="007E567F" w:rsidP="00A85D7E">
      <w:pPr>
        <w:autoSpaceDE w:val="0"/>
        <w:autoSpaceDN w:val="0"/>
        <w:adjustRightInd w:val="0"/>
        <w:spacing w:after="0" w:line="240" w:lineRule="auto"/>
        <w:rPr>
          <w:rFonts w:ascii="Arial Narrow" w:hAnsi="Arial Narrow" w:cs="Garamond"/>
          <w:color w:val="4D4D4D"/>
          <w:sz w:val="24"/>
          <w:szCs w:val="24"/>
        </w:rPr>
      </w:pPr>
      <w:r w:rsidRPr="00B908AA">
        <w:rPr>
          <w:rFonts w:ascii="Arial Narrow" w:hAnsi="Arial Narrow" w:cs="Garamond"/>
          <w:color w:val="4D4D4D"/>
          <w:sz w:val="24"/>
          <w:szCs w:val="24"/>
        </w:rPr>
        <w:t>Miguel Uribe Turbay</w:t>
      </w:r>
    </w:p>
    <w:p w:rsidR="007E567F" w:rsidRPr="00B908AA" w:rsidRDefault="007E567F" w:rsidP="00A85D7E">
      <w:pPr>
        <w:autoSpaceDE w:val="0"/>
        <w:autoSpaceDN w:val="0"/>
        <w:adjustRightInd w:val="0"/>
        <w:spacing w:after="0" w:line="240" w:lineRule="auto"/>
        <w:rPr>
          <w:rFonts w:ascii="Arial Narrow" w:hAnsi="Arial Narrow" w:cs="Garamond"/>
          <w:color w:val="4D4D4D"/>
          <w:sz w:val="24"/>
          <w:szCs w:val="24"/>
        </w:rPr>
      </w:pPr>
      <w:r w:rsidRPr="00B908AA">
        <w:rPr>
          <w:rFonts w:ascii="Arial Narrow" w:hAnsi="Arial Narrow" w:cs="Garamond"/>
          <w:color w:val="4D4D4D"/>
          <w:sz w:val="24"/>
          <w:szCs w:val="24"/>
        </w:rPr>
        <w:t>Secretario Distrital de Gobierno</w:t>
      </w:r>
    </w:p>
    <w:p w:rsidR="007E567F" w:rsidRPr="00B908AA" w:rsidRDefault="00EB607C" w:rsidP="00A85D7E">
      <w:pPr>
        <w:autoSpaceDE w:val="0"/>
        <w:autoSpaceDN w:val="0"/>
        <w:adjustRightInd w:val="0"/>
        <w:spacing w:after="0" w:line="240" w:lineRule="auto"/>
        <w:rPr>
          <w:rFonts w:ascii="Arial Narrow" w:hAnsi="Arial Narrow" w:cs="Garamond"/>
          <w:color w:val="4D4D4D"/>
          <w:sz w:val="24"/>
          <w:szCs w:val="24"/>
        </w:rPr>
      </w:pPr>
      <w:r w:rsidRPr="00B908AA">
        <w:rPr>
          <w:rFonts w:ascii="Arial Narrow" w:hAnsi="Arial Narrow" w:cs="Garamond"/>
          <w:color w:val="4D4D4D"/>
          <w:sz w:val="24"/>
          <w:szCs w:val="24"/>
        </w:rPr>
        <w:t>Lubar Andrés Chaparro Cabra</w:t>
      </w:r>
    </w:p>
    <w:p w:rsidR="00EB607C" w:rsidRPr="00B908AA" w:rsidRDefault="00EB607C" w:rsidP="00A85D7E">
      <w:pPr>
        <w:autoSpaceDE w:val="0"/>
        <w:autoSpaceDN w:val="0"/>
        <w:adjustRightInd w:val="0"/>
        <w:spacing w:after="0" w:line="240" w:lineRule="auto"/>
        <w:rPr>
          <w:rFonts w:ascii="Arial Narrow" w:hAnsi="Arial Narrow" w:cs="Garamond"/>
          <w:color w:val="4D4D4D"/>
          <w:sz w:val="24"/>
          <w:szCs w:val="24"/>
        </w:rPr>
      </w:pPr>
      <w:r w:rsidRPr="00B908AA">
        <w:rPr>
          <w:rFonts w:ascii="Arial Narrow" w:hAnsi="Arial Narrow" w:cs="Garamond"/>
          <w:color w:val="4D4D4D"/>
          <w:sz w:val="24"/>
          <w:szCs w:val="24"/>
        </w:rPr>
        <w:t>Subsecretario de Gestión Institucional</w:t>
      </w:r>
    </w:p>
    <w:p w:rsidR="00EB607C" w:rsidRPr="00B908AA" w:rsidRDefault="00EB607C" w:rsidP="00A85D7E">
      <w:pPr>
        <w:autoSpaceDE w:val="0"/>
        <w:autoSpaceDN w:val="0"/>
        <w:adjustRightInd w:val="0"/>
        <w:spacing w:after="0" w:line="240" w:lineRule="auto"/>
        <w:rPr>
          <w:rFonts w:ascii="Arial Narrow" w:hAnsi="Arial Narrow" w:cs="Garamond"/>
          <w:color w:val="4D4D4D"/>
          <w:sz w:val="24"/>
          <w:szCs w:val="24"/>
        </w:rPr>
      </w:pPr>
      <w:r w:rsidRPr="00B908AA">
        <w:rPr>
          <w:rFonts w:ascii="Arial Narrow" w:hAnsi="Arial Narrow" w:cs="Garamond"/>
          <w:color w:val="4D4D4D"/>
          <w:sz w:val="24"/>
          <w:szCs w:val="24"/>
        </w:rPr>
        <w:t>Yolanda Villabona</w:t>
      </w:r>
    </w:p>
    <w:p w:rsidR="00A85D7E" w:rsidRPr="00B908AA" w:rsidRDefault="00EB607C" w:rsidP="00EB607C">
      <w:pPr>
        <w:autoSpaceDE w:val="0"/>
        <w:autoSpaceDN w:val="0"/>
        <w:adjustRightInd w:val="0"/>
        <w:spacing w:after="0" w:line="240" w:lineRule="auto"/>
        <w:rPr>
          <w:rFonts w:ascii="Arial Narrow" w:hAnsi="Arial Narrow" w:cs="Garamond"/>
          <w:color w:val="4D4D4D"/>
          <w:sz w:val="24"/>
          <w:szCs w:val="24"/>
        </w:rPr>
      </w:pPr>
      <w:r w:rsidRPr="00B908AA">
        <w:rPr>
          <w:rFonts w:ascii="Arial Narrow" w:hAnsi="Arial Narrow" w:cs="Garamond"/>
          <w:color w:val="4D4D4D"/>
          <w:sz w:val="24"/>
          <w:szCs w:val="24"/>
        </w:rPr>
        <w:t>Directora de Contratación</w:t>
      </w:r>
    </w:p>
    <w:p w:rsidR="00EB607C" w:rsidRPr="00B908AA" w:rsidRDefault="00EB607C" w:rsidP="00EB607C">
      <w:pPr>
        <w:autoSpaceDE w:val="0"/>
        <w:autoSpaceDN w:val="0"/>
        <w:adjustRightInd w:val="0"/>
        <w:spacing w:after="0" w:line="240" w:lineRule="auto"/>
        <w:rPr>
          <w:rFonts w:ascii="Arial Narrow" w:hAnsi="Arial Narrow" w:cs="Garamond"/>
          <w:color w:val="4D4D4D"/>
          <w:sz w:val="24"/>
          <w:szCs w:val="24"/>
        </w:rPr>
      </w:pPr>
    </w:p>
    <w:p w:rsidR="00EB607C" w:rsidRPr="00B908AA" w:rsidRDefault="00EB607C" w:rsidP="00EB607C">
      <w:pPr>
        <w:autoSpaceDE w:val="0"/>
        <w:autoSpaceDN w:val="0"/>
        <w:adjustRightInd w:val="0"/>
        <w:spacing w:after="0" w:line="240" w:lineRule="auto"/>
        <w:rPr>
          <w:rFonts w:ascii="Arial Narrow" w:hAnsi="Arial Narrow" w:cs="Garamond"/>
          <w:color w:val="4D4D4D"/>
          <w:sz w:val="24"/>
          <w:szCs w:val="24"/>
        </w:rPr>
      </w:pPr>
    </w:p>
    <w:p w:rsidR="00A96F45" w:rsidRDefault="00A96F45" w:rsidP="00EB607C">
      <w:pPr>
        <w:autoSpaceDE w:val="0"/>
        <w:autoSpaceDN w:val="0"/>
        <w:adjustRightInd w:val="0"/>
        <w:spacing w:after="0" w:line="240" w:lineRule="auto"/>
        <w:rPr>
          <w:rFonts w:ascii="Arial Narrow" w:hAnsi="Arial Narrow" w:cs="Garamond"/>
          <w:color w:val="4D4D4D"/>
          <w:sz w:val="24"/>
          <w:szCs w:val="24"/>
        </w:rPr>
      </w:pPr>
    </w:p>
    <w:p w:rsidR="000E21D5" w:rsidRDefault="000E21D5" w:rsidP="00EB607C">
      <w:pPr>
        <w:autoSpaceDE w:val="0"/>
        <w:autoSpaceDN w:val="0"/>
        <w:adjustRightInd w:val="0"/>
        <w:spacing w:after="0" w:line="240" w:lineRule="auto"/>
        <w:rPr>
          <w:rFonts w:ascii="Arial Narrow" w:hAnsi="Arial Narrow" w:cs="Garamond"/>
          <w:color w:val="4D4D4D"/>
          <w:sz w:val="24"/>
          <w:szCs w:val="24"/>
        </w:rPr>
      </w:pPr>
    </w:p>
    <w:p w:rsidR="000E21D5" w:rsidRDefault="000E21D5" w:rsidP="00EB607C">
      <w:pPr>
        <w:autoSpaceDE w:val="0"/>
        <w:autoSpaceDN w:val="0"/>
        <w:adjustRightInd w:val="0"/>
        <w:spacing w:after="0" w:line="240" w:lineRule="auto"/>
        <w:rPr>
          <w:rFonts w:ascii="Arial Narrow" w:hAnsi="Arial Narrow" w:cs="Garamond"/>
          <w:color w:val="4D4D4D"/>
          <w:sz w:val="24"/>
          <w:szCs w:val="24"/>
        </w:rPr>
      </w:pPr>
    </w:p>
    <w:p w:rsidR="000E21D5" w:rsidRDefault="000E21D5" w:rsidP="00EB607C">
      <w:pPr>
        <w:autoSpaceDE w:val="0"/>
        <w:autoSpaceDN w:val="0"/>
        <w:adjustRightInd w:val="0"/>
        <w:spacing w:after="0" w:line="240" w:lineRule="auto"/>
        <w:rPr>
          <w:rFonts w:ascii="Arial Narrow" w:hAnsi="Arial Narrow" w:cs="Garamond"/>
          <w:color w:val="4D4D4D"/>
          <w:sz w:val="24"/>
          <w:szCs w:val="24"/>
        </w:rPr>
      </w:pPr>
    </w:p>
    <w:p w:rsidR="000E21D5" w:rsidRDefault="000E21D5" w:rsidP="00EB607C">
      <w:pPr>
        <w:autoSpaceDE w:val="0"/>
        <w:autoSpaceDN w:val="0"/>
        <w:adjustRightInd w:val="0"/>
        <w:spacing w:after="0" w:line="240" w:lineRule="auto"/>
        <w:rPr>
          <w:rFonts w:ascii="Arial Narrow" w:hAnsi="Arial Narrow" w:cs="Garamond"/>
          <w:color w:val="4D4D4D"/>
          <w:sz w:val="24"/>
          <w:szCs w:val="24"/>
        </w:rPr>
      </w:pPr>
    </w:p>
    <w:p w:rsidR="000E21D5" w:rsidRDefault="000E21D5" w:rsidP="00EB607C">
      <w:pPr>
        <w:autoSpaceDE w:val="0"/>
        <w:autoSpaceDN w:val="0"/>
        <w:adjustRightInd w:val="0"/>
        <w:spacing w:after="0" w:line="240" w:lineRule="auto"/>
        <w:rPr>
          <w:rFonts w:ascii="Arial Narrow" w:hAnsi="Arial Narrow" w:cs="Garamond"/>
          <w:color w:val="4D4D4D"/>
          <w:sz w:val="24"/>
          <w:szCs w:val="24"/>
        </w:rPr>
      </w:pPr>
    </w:p>
    <w:p w:rsidR="000E21D5" w:rsidRDefault="000E21D5" w:rsidP="00EB607C">
      <w:pPr>
        <w:autoSpaceDE w:val="0"/>
        <w:autoSpaceDN w:val="0"/>
        <w:adjustRightInd w:val="0"/>
        <w:spacing w:after="0" w:line="240" w:lineRule="auto"/>
        <w:rPr>
          <w:rFonts w:ascii="Arial Narrow" w:hAnsi="Arial Narrow" w:cs="Garamond"/>
          <w:color w:val="4D4D4D"/>
          <w:sz w:val="24"/>
          <w:szCs w:val="24"/>
        </w:rPr>
      </w:pPr>
    </w:p>
    <w:p w:rsidR="000E21D5" w:rsidRPr="00B908AA" w:rsidRDefault="000E21D5" w:rsidP="00EB607C">
      <w:pPr>
        <w:autoSpaceDE w:val="0"/>
        <w:autoSpaceDN w:val="0"/>
        <w:adjustRightInd w:val="0"/>
        <w:spacing w:after="0" w:line="240" w:lineRule="auto"/>
        <w:rPr>
          <w:rFonts w:ascii="Arial Narrow" w:hAnsi="Arial Narrow" w:cs="Garamond"/>
          <w:color w:val="4D4D4D"/>
          <w:sz w:val="24"/>
          <w:szCs w:val="24"/>
        </w:rPr>
      </w:pPr>
    </w:p>
    <w:p w:rsidR="00A96F45" w:rsidRPr="00B908AA" w:rsidRDefault="00A96F45" w:rsidP="00EB607C">
      <w:pPr>
        <w:autoSpaceDE w:val="0"/>
        <w:autoSpaceDN w:val="0"/>
        <w:adjustRightInd w:val="0"/>
        <w:spacing w:after="0" w:line="240" w:lineRule="auto"/>
        <w:rPr>
          <w:rFonts w:ascii="Arial Narrow" w:hAnsi="Arial Narrow" w:cs="Garamond"/>
          <w:color w:val="4D4D4D"/>
          <w:sz w:val="24"/>
          <w:szCs w:val="24"/>
        </w:rPr>
      </w:pPr>
    </w:p>
    <w:p w:rsidR="00A96F45" w:rsidRDefault="00A96F45" w:rsidP="003B47BB">
      <w:pPr>
        <w:autoSpaceDE w:val="0"/>
        <w:autoSpaceDN w:val="0"/>
        <w:adjustRightInd w:val="0"/>
        <w:spacing w:after="0" w:line="240" w:lineRule="auto"/>
        <w:jc w:val="center"/>
        <w:rPr>
          <w:rFonts w:ascii="Arial Narrow" w:hAnsi="Arial Narrow" w:cs="Garamond"/>
          <w:color w:val="000000"/>
          <w:sz w:val="24"/>
          <w:szCs w:val="24"/>
        </w:rPr>
      </w:pPr>
    </w:p>
    <w:p w:rsidR="00767CEB" w:rsidRDefault="00767CEB" w:rsidP="003B47BB">
      <w:pPr>
        <w:autoSpaceDE w:val="0"/>
        <w:autoSpaceDN w:val="0"/>
        <w:adjustRightInd w:val="0"/>
        <w:spacing w:after="0" w:line="240" w:lineRule="auto"/>
        <w:jc w:val="center"/>
        <w:rPr>
          <w:rFonts w:ascii="Arial Narrow" w:hAnsi="Arial Narrow" w:cs="Garamond"/>
          <w:color w:val="000000"/>
          <w:sz w:val="24"/>
          <w:szCs w:val="24"/>
        </w:rPr>
      </w:pPr>
    </w:p>
    <w:p w:rsidR="00767CEB" w:rsidRPr="00B908AA" w:rsidRDefault="00767CEB" w:rsidP="003B47BB">
      <w:pPr>
        <w:autoSpaceDE w:val="0"/>
        <w:autoSpaceDN w:val="0"/>
        <w:adjustRightInd w:val="0"/>
        <w:spacing w:after="0" w:line="240" w:lineRule="auto"/>
        <w:jc w:val="center"/>
        <w:rPr>
          <w:rFonts w:ascii="Arial Narrow" w:hAnsi="Arial Narrow" w:cs="Garamond"/>
          <w:color w:val="000000"/>
          <w:sz w:val="24"/>
          <w:szCs w:val="24"/>
        </w:rPr>
      </w:pPr>
    </w:p>
    <w:p w:rsidR="00A96F45" w:rsidRPr="00B908AA" w:rsidRDefault="00A96F45" w:rsidP="003B47BB">
      <w:pPr>
        <w:autoSpaceDE w:val="0"/>
        <w:autoSpaceDN w:val="0"/>
        <w:adjustRightInd w:val="0"/>
        <w:spacing w:after="0" w:line="240" w:lineRule="auto"/>
        <w:jc w:val="center"/>
        <w:rPr>
          <w:rFonts w:ascii="Arial Narrow" w:hAnsi="Arial Narrow" w:cs="Garamond"/>
          <w:color w:val="000000"/>
          <w:sz w:val="24"/>
          <w:szCs w:val="24"/>
        </w:rPr>
      </w:pPr>
      <w:r w:rsidRPr="00B908AA">
        <w:rPr>
          <w:rFonts w:ascii="Arial Narrow" w:hAnsi="Arial Narrow" w:cs="Garamond"/>
          <w:color w:val="000000"/>
          <w:sz w:val="24"/>
          <w:szCs w:val="24"/>
        </w:rPr>
        <w:t>INDICE GENERAL</w:t>
      </w:r>
    </w:p>
    <w:p w:rsidR="00A96F45" w:rsidRPr="00B908AA" w:rsidRDefault="00A96F45" w:rsidP="00EB607C">
      <w:pPr>
        <w:autoSpaceDE w:val="0"/>
        <w:autoSpaceDN w:val="0"/>
        <w:adjustRightInd w:val="0"/>
        <w:spacing w:after="0" w:line="240" w:lineRule="auto"/>
        <w:rPr>
          <w:rFonts w:ascii="Arial Narrow" w:hAnsi="Arial Narrow" w:cs="Garamond"/>
          <w:color w:val="000000"/>
          <w:sz w:val="24"/>
          <w:szCs w:val="24"/>
        </w:rPr>
      </w:pPr>
    </w:p>
    <w:p w:rsidR="00EE68B0" w:rsidRPr="00B908AA" w:rsidRDefault="00EE68B0" w:rsidP="008564AD">
      <w:pPr>
        <w:autoSpaceDE w:val="0"/>
        <w:autoSpaceDN w:val="0"/>
        <w:adjustRightInd w:val="0"/>
        <w:spacing w:after="0" w:line="240" w:lineRule="auto"/>
        <w:rPr>
          <w:rFonts w:ascii="Arial Narrow" w:hAnsi="Arial Narrow" w:cs="Garamond"/>
          <w:color w:val="000000"/>
          <w:sz w:val="24"/>
          <w:szCs w:val="24"/>
        </w:rPr>
      </w:pPr>
    </w:p>
    <w:p w:rsidR="00A76AC8" w:rsidRPr="00B908AA" w:rsidRDefault="00A76AC8" w:rsidP="00902A28">
      <w:pPr>
        <w:autoSpaceDE w:val="0"/>
        <w:autoSpaceDN w:val="0"/>
        <w:adjustRightInd w:val="0"/>
        <w:spacing w:after="0" w:line="240" w:lineRule="auto"/>
        <w:ind w:left="7080" w:firstLine="708"/>
        <w:rPr>
          <w:rFonts w:ascii="Arial Narrow" w:hAnsi="Arial Narrow" w:cs="Garamond"/>
          <w:color w:val="000000"/>
          <w:sz w:val="24"/>
          <w:szCs w:val="24"/>
        </w:rPr>
      </w:pPr>
      <w:r w:rsidRPr="00B908AA">
        <w:rPr>
          <w:rFonts w:ascii="Arial Narrow" w:hAnsi="Arial Narrow" w:cs="Garamond"/>
          <w:color w:val="000000"/>
          <w:sz w:val="24"/>
          <w:szCs w:val="24"/>
        </w:rPr>
        <w:t>Pág.</w:t>
      </w:r>
    </w:p>
    <w:p w:rsidR="00A76AC8" w:rsidRPr="00B908AA" w:rsidRDefault="00A76AC8" w:rsidP="008564AD">
      <w:pPr>
        <w:autoSpaceDE w:val="0"/>
        <w:autoSpaceDN w:val="0"/>
        <w:adjustRightInd w:val="0"/>
        <w:spacing w:after="0" w:line="240" w:lineRule="auto"/>
        <w:rPr>
          <w:rFonts w:ascii="Arial Narrow" w:hAnsi="Arial Narrow" w:cs="Garamond"/>
          <w:color w:val="000000"/>
          <w:sz w:val="24"/>
          <w:szCs w:val="24"/>
        </w:rPr>
      </w:pPr>
    </w:p>
    <w:p w:rsidR="00A76AC8" w:rsidRPr="00B908AA" w:rsidRDefault="00A76AC8" w:rsidP="008564AD">
      <w:pPr>
        <w:autoSpaceDE w:val="0"/>
        <w:autoSpaceDN w:val="0"/>
        <w:adjustRightInd w:val="0"/>
        <w:spacing w:after="0" w:line="240" w:lineRule="auto"/>
        <w:rPr>
          <w:rFonts w:ascii="Arial Narrow" w:hAnsi="Arial Narrow" w:cs="Garamond"/>
          <w:color w:val="000000"/>
          <w:sz w:val="24"/>
          <w:szCs w:val="24"/>
        </w:rPr>
      </w:pPr>
      <w:r w:rsidRPr="00B908AA">
        <w:rPr>
          <w:rFonts w:ascii="Arial Narrow" w:hAnsi="Arial Narrow" w:cs="Garamond"/>
          <w:color w:val="000000"/>
          <w:sz w:val="24"/>
          <w:szCs w:val="24"/>
        </w:rPr>
        <w:t>INTRODUCCION</w:t>
      </w:r>
      <w:r w:rsidR="00A06A74" w:rsidRPr="00B908AA">
        <w:rPr>
          <w:rFonts w:ascii="Arial Narrow" w:hAnsi="Arial Narrow" w:cs="Garamond"/>
          <w:color w:val="000000"/>
          <w:sz w:val="24"/>
          <w:szCs w:val="24"/>
        </w:rPr>
        <w:tab/>
      </w:r>
      <w:r w:rsidR="00A06A74" w:rsidRPr="00B908AA">
        <w:rPr>
          <w:rFonts w:ascii="Arial Narrow" w:hAnsi="Arial Narrow" w:cs="Garamond"/>
          <w:color w:val="000000"/>
          <w:sz w:val="24"/>
          <w:szCs w:val="24"/>
        </w:rPr>
        <w:tab/>
      </w:r>
      <w:r w:rsidR="00A06A74" w:rsidRPr="00B908AA">
        <w:rPr>
          <w:rFonts w:ascii="Arial Narrow" w:hAnsi="Arial Narrow" w:cs="Garamond"/>
          <w:color w:val="000000"/>
          <w:sz w:val="24"/>
          <w:szCs w:val="24"/>
        </w:rPr>
        <w:tab/>
      </w:r>
      <w:r w:rsidR="00A06A74" w:rsidRPr="00B908AA">
        <w:rPr>
          <w:rFonts w:ascii="Arial Narrow" w:hAnsi="Arial Narrow" w:cs="Garamond"/>
          <w:color w:val="000000"/>
          <w:sz w:val="24"/>
          <w:szCs w:val="24"/>
        </w:rPr>
        <w:tab/>
      </w:r>
      <w:r w:rsidR="00A06A74" w:rsidRPr="00B908AA">
        <w:rPr>
          <w:rFonts w:ascii="Arial Narrow" w:hAnsi="Arial Narrow" w:cs="Garamond"/>
          <w:color w:val="000000"/>
          <w:sz w:val="24"/>
          <w:szCs w:val="24"/>
        </w:rPr>
        <w:tab/>
      </w:r>
      <w:r w:rsidR="00A06A74" w:rsidRPr="00B908AA">
        <w:rPr>
          <w:rFonts w:ascii="Arial Narrow" w:hAnsi="Arial Narrow" w:cs="Garamond"/>
          <w:color w:val="000000"/>
          <w:sz w:val="24"/>
          <w:szCs w:val="24"/>
        </w:rPr>
        <w:tab/>
      </w:r>
      <w:r w:rsidR="00A06A74" w:rsidRPr="00B908AA">
        <w:rPr>
          <w:rFonts w:ascii="Arial Narrow" w:hAnsi="Arial Narrow" w:cs="Garamond"/>
          <w:color w:val="000000"/>
          <w:sz w:val="24"/>
          <w:szCs w:val="24"/>
        </w:rPr>
        <w:tab/>
      </w:r>
      <w:r w:rsidR="00A06A74" w:rsidRPr="00B908AA">
        <w:rPr>
          <w:rFonts w:ascii="Arial Narrow" w:hAnsi="Arial Narrow" w:cs="Garamond"/>
          <w:color w:val="000000"/>
          <w:sz w:val="24"/>
          <w:szCs w:val="24"/>
        </w:rPr>
        <w:tab/>
      </w:r>
      <w:r w:rsidR="00A06A74" w:rsidRPr="00B908AA">
        <w:rPr>
          <w:rFonts w:ascii="Arial Narrow" w:hAnsi="Arial Narrow" w:cs="Garamond"/>
          <w:color w:val="000000"/>
          <w:sz w:val="24"/>
          <w:szCs w:val="24"/>
        </w:rPr>
        <w:tab/>
      </w:r>
      <w:r w:rsidR="007254E9">
        <w:rPr>
          <w:rFonts w:ascii="Arial Narrow" w:hAnsi="Arial Narrow" w:cs="Garamond"/>
          <w:color w:val="000000"/>
          <w:sz w:val="24"/>
          <w:szCs w:val="24"/>
        </w:rPr>
        <w:t>4</w:t>
      </w:r>
    </w:p>
    <w:p w:rsidR="00A76AC8" w:rsidRPr="00B908AA" w:rsidRDefault="00A76AC8" w:rsidP="008564AD">
      <w:pPr>
        <w:autoSpaceDE w:val="0"/>
        <w:autoSpaceDN w:val="0"/>
        <w:adjustRightInd w:val="0"/>
        <w:spacing w:after="0" w:line="240" w:lineRule="auto"/>
        <w:rPr>
          <w:rFonts w:ascii="Arial Narrow" w:hAnsi="Arial Narrow" w:cs="Garamond"/>
          <w:color w:val="000000"/>
          <w:sz w:val="24"/>
          <w:szCs w:val="24"/>
        </w:rPr>
      </w:pPr>
    </w:p>
    <w:p w:rsidR="00A76AC8" w:rsidRPr="00B908AA" w:rsidRDefault="00A76AC8" w:rsidP="008564AD">
      <w:pPr>
        <w:autoSpaceDE w:val="0"/>
        <w:autoSpaceDN w:val="0"/>
        <w:adjustRightInd w:val="0"/>
        <w:spacing w:after="0" w:line="240" w:lineRule="auto"/>
        <w:rPr>
          <w:rFonts w:ascii="Arial Narrow" w:hAnsi="Arial Narrow" w:cs="Garamond"/>
          <w:color w:val="000000"/>
          <w:sz w:val="24"/>
          <w:szCs w:val="24"/>
        </w:rPr>
      </w:pPr>
    </w:p>
    <w:p w:rsidR="00B22ADE" w:rsidRPr="00B22ADE" w:rsidRDefault="00B22ADE" w:rsidP="00B22ADE">
      <w:pPr>
        <w:pStyle w:val="NormalWeb"/>
        <w:jc w:val="both"/>
        <w:rPr>
          <w:rFonts w:ascii="Arial Narrow" w:hAnsi="Arial Narrow" w:cs="Garamond-Bold"/>
          <w:bCs/>
        </w:rPr>
      </w:pPr>
      <w:r w:rsidRPr="000749CC">
        <w:rPr>
          <w:rFonts w:ascii="Arial Narrow" w:hAnsi="Arial Narrow" w:cs="Garamond-Bold"/>
          <w:bCs/>
        </w:rPr>
        <w:t>ACUERDOS MARCO DE PRECIOS</w:t>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t>5</w:t>
      </w:r>
    </w:p>
    <w:p w:rsidR="00932643" w:rsidRDefault="00B22ADE" w:rsidP="00B22ADE">
      <w:pPr>
        <w:pStyle w:val="NormalWeb"/>
        <w:jc w:val="both"/>
        <w:rPr>
          <w:rFonts w:ascii="Arial Narrow" w:hAnsi="Arial Narrow" w:cs="Garamond-Bold"/>
          <w:bCs/>
        </w:rPr>
      </w:pPr>
      <w:r w:rsidRPr="00B22ADE">
        <w:rPr>
          <w:rFonts w:ascii="Arial Narrow" w:hAnsi="Arial Narrow" w:cs="Garamond-Bold"/>
          <w:bCs/>
        </w:rPr>
        <w:t xml:space="preserve">COMODATO- DE BIENES EXISTENTES EN EL CENTRO DE RESERVA LOCAL </w:t>
      </w:r>
    </w:p>
    <w:p w:rsidR="00B22ADE" w:rsidRPr="00B22ADE" w:rsidRDefault="00932643" w:rsidP="00B22ADE">
      <w:pPr>
        <w:pStyle w:val="NormalWeb"/>
        <w:jc w:val="both"/>
        <w:rPr>
          <w:rFonts w:ascii="Arial Narrow" w:hAnsi="Arial Narrow" w:cs="Garamond-Bold"/>
          <w:bCs/>
        </w:rPr>
      </w:pPr>
      <w:r>
        <w:rPr>
          <w:rFonts w:ascii="Arial Narrow" w:hAnsi="Arial Narrow" w:cs="Garamond-Bold"/>
          <w:bCs/>
        </w:rPr>
        <w:tab/>
      </w:r>
      <w:r w:rsidR="00B22ADE" w:rsidRPr="00B22ADE">
        <w:rPr>
          <w:rFonts w:ascii="Arial Narrow" w:hAnsi="Arial Narrow" w:cs="Garamond-Bold"/>
          <w:bCs/>
        </w:rPr>
        <w:t>PARA ATENDER EMERGENCIAS Y DESASTRES/ LEY DE GARANTÍAS</w:t>
      </w:r>
      <w:r>
        <w:rPr>
          <w:rFonts w:ascii="Arial Narrow" w:hAnsi="Arial Narrow" w:cs="Garamond-Bold"/>
          <w:bCs/>
        </w:rPr>
        <w:tab/>
        <w:t>6</w:t>
      </w:r>
    </w:p>
    <w:p w:rsidR="00B22ADE" w:rsidRPr="00B22ADE" w:rsidRDefault="00B22ADE" w:rsidP="00B22ADE">
      <w:pPr>
        <w:pStyle w:val="NormalWeb"/>
        <w:jc w:val="both"/>
        <w:rPr>
          <w:rFonts w:ascii="Arial Narrow" w:hAnsi="Arial Narrow" w:cs="Garamond-Bold"/>
          <w:bCs/>
        </w:rPr>
      </w:pPr>
      <w:r w:rsidRPr="00B22ADE">
        <w:rPr>
          <w:rFonts w:ascii="Arial Narrow" w:hAnsi="Arial Narrow" w:cs="Garamond-Bold"/>
          <w:bCs/>
        </w:rPr>
        <w:t>COMODATO Y CONVENIOS SOLIDARIOS</w:t>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t>9</w:t>
      </w:r>
    </w:p>
    <w:p w:rsidR="005B38DD" w:rsidRDefault="005B38DD" w:rsidP="00B22ADE">
      <w:pPr>
        <w:pStyle w:val="NormalWeb"/>
        <w:jc w:val="both"/>
        <w:rPr>
          <w:rFonts w:ascii="Arial Narrow" w:hAnsi="Arial Narrow" w:cs="Garamond-Bold"/>
          <w:bCs/>
        </w:rPr>
      </w:pPr>
      <w:r>
        <w:rPr>
          <w:rFonts w:ascii="Arial Narrow" w:hAnsi="Arial Narrow" w:cs="Garamond-Bold"/>
          <w:bCs/>
        </w:rPr>
        <w:t xml:space="preserve">CONVENIO INTERADMINISTRATIVO - ESTRUCTURACION </w:t>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t>13</w:t>
      </w:r>
      <w:r w:rsidR="00932643">
        <w:rPr>
          <w:rFonts w:ascii="Arial Narrow" w:hAnsi="Arial Narrow" w:cs="Garamond-Bold"/>
          <w:bCs/>
        </w:rPr>
        <w:tab/>
      </w:r>
    </w:p>
    <w:p w:rsidR="00767CEB" w:rsidRDefault="00767CEB" w:rsidP="00767CEB">
      <w:pPr>
        <w:pStyle w:val="NormalWeb"/>
        <w:jc w:val="both"/>
        <w:rPr>
          <w:rFonts w:ascii="Arial Narrow" w:hAnsi="Arial Narrow" w:cs="Garamond-Bold"/>
          <w:bCs/>
        </w:rPr>
      </w:pPr>
      <w:r>
        <w:rPr>
          <w:rFonts w:ascii="Arial Narrow" w:hAnsi="Arial Narrow" w:cs="Garamond-Bold"/>
          <w:bCs/>
        </w:rPr>
        <w:t>CONVENIO INTERADMINISTRATIVO ICA</w:t>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t>14</w:t>
      </w:r>
    </w:p>
    <w:p w:rsidR="00B22ADE" w:rsidRDefault="00B22ADE" w:rsidP="00B22ADE">
      <w:pPr>
        <w:pStyle w:val="NormalWeb"/>
        <w:jc w:val="both"/>
        <w:rPr>
          <w:rFonts w:ascii="Arial Narrow" w:hAnsi="Arial Narrow" w:cs="Garamond-Bold"/>
          <w:bCs/>
        </w:rPr>
      </w:pPr>
      <w:r w:rsidRPr="00B22ADE">
        <w:rPr>
          <w:rFonts w:ascii="Arial Narrow" w:hAnsi="Arial Narrow" w:cs="Garamond-Bold"/>
          <w:bCs/>
        </w:rPr>
        <w:t>CONVENIOS INTERADMINISTRATIVOS FDL/NORMAS PRESUPUESTALES</w:t>
      </w:r>
      <w:r w:rsidR="00932643">
        <w:rPr>
          <w:rFonts w:ascii="Arial Narrow" w:hAnsi="Arial Narrow" w:cs="Garamond-Bold"/>
          <w:bCs/>
        </w:rPr>
        <w:tab/>
      </w:r>
      <w:r w:rsidR="00932643">
        <w:rPr>
          <w:rFonts w:ascii="Arial Narrow" w:hAnsi="Arial Narrow" w:cs="Garamond-Bold"/>
          <w:bCs/>
        </w:rPr>
        <w:tab/>
        <w:t>14</w:t>
      </w:r>
    </w:p>
    <w:p w:rsidR="00932643" w:rsidRDefault="00932643" w:rsidP="00B22ADE">
      <w:pPr>
        <w:pStyle w:val="NormalWeb"/>
        <w:jc w:val="both"/>
        <w:rPr>
          <w:rFonts w:ascii="Arial Narrow" w:hAnsi="Arial Narrow" w:cs="Garamond-Bold"/>
          <w:bCs/>
        </w:rPr>
      </w:pPr>
      <w:r w:rsidRPr="00B22ADE">
        <w:rPr>
          <w:rFonts w:ascii="Arial Narrow" w:hAnsi="Arial Narrow" w:cs="Garamond-Bold"/>
          <w:bCs/>
        </w:rPr>
        <w:t xml:space="preserve">CONTRATO DE PRESTACIÓN DE SERVICIOS VERSUS CONTRATO DE TRABAJO; </w:t>
      </w:r>
    </w:p>
    <w:p w:rsidR="00932643" w:rsidRDefault="003179C4" w:rsidP="00B22ADE">
      <w:pPr>
        <w:pStyle w:val="NormalWeb"/>
        <w:jc w:val="both"/>
        <w:rPr>
          <w:rFonts w:ascii="Arial Narrow" w:hAnsi="Arial Narrow" w:cs="Garamond-Bold"/>
          <w:bCs/>
        </w:rPr>
      </w:pPr>
      <w:r>
        <w:rPr>
          <w:rFonts w:ascii="Arial Narrow" w:hAnsi="Arial Narrow" w:cs="Garamond-Bold"/>
          <w:bCs/>
        </w:rPr>
        <w:tab/>
      </w:r>
      <w:r w:rsidR="00932643" w:rsidRPr="00B22ADE">
        <w:rPr>
          <w:rFonts w:ascii="Arial Narrow" w:hAnsi="Arial Narrow" w:cs="Garamond-Bold"/>
          <w:bCs/>
        </w:rPr>
        <w:t>CONCEPTO DE CONTRATO REALIDAD</w:t>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t>19</w:t>
      </w:r>
    </w:p>
    <w:p w:rsidR="003179C4" w:rsidRDefault="00B22ADE" w:rsidP="00B22ADE">
      <w:pPr>
        <w:pStyle w:val="NormalWeb"/>
        <w:jc w:val="both"/>
        <w:rPr>
          <w:rFonts w:ascii="Arial Narrow" w:hAnsi="Arial Narrow" w:cs="Garamond-Bold"/>
          <w:bCs/>
        </w:rPr>
      </w:pPr>
      <w:r w:rsidRPr="00B22ADE">
        <w:rPr>
          <w:rFonts w:ascii="Arial Narrow" w:hAnsi="Arial Narrow" w:cs="Garamond-Bold"/>
          <w:bCs/>
        </w:rPr>
        <w:t xml:space="preserve">DELEGACIÓN DE FUNCIONES DE ORDENACIÓN DE GASTOS </w:t>
      </w:r>
    </w:p>
    <w:p w:rsidR="00B22ADE" w:rsidRPr="00B22ADE" w:rsidRDefault="003179C4" w:rsidP="00B22ADE">
      <w:pPr>
        <w:pStyle w:val="NormalWeb"/>
        <w:jc w:val="both"/>
        <w:rPr>
          <w:rFonts w:ascii="Arial Narrow" w:hAnsi="Arial Narrow" w:cs="Garamond-Bold"/>
          <w:bCs/>
        </w:rPr>
      </w:pPr>
      <w:r>
        <w:rPr>
          <w:rFonts w:ascii="Arial Narrow" w:hAnsi="Arial Narrow" w:cs="Garamond-Bold"/>
          <w:bCs/>
        </w:rPr>
        <w:tab/>
      </w:r>
      <w:r w:rsidR="00B22ADE" w:rsidRPr="00B22ADE">
        <w:rPr>
          <w:rFonts w:ascii="Arial Narrow" w:hAnsi="Arial Narrow" w:cs="Garamond-Bold"/>
          <w:bCs/>
        </w:rPr>
        <w:t>Y CONTRATACIÓN/ DESIGNACIÓN DE SUPERVISORES</w:t>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t>22</w:t>
      </w:r>
    </w:p>
    <w:p w:rsidR="003179C4" w:rsidRDefault="00B22ADE" w:rsidP="00B22ADE">
      <w:pPr>
        <w:pStyle w:val="NormalWeb"/>
        <w:jc w:val="both"/>
        <w:rPr>
          <w:rFonts w:ascii="Arial Narrow" w:hAnsi="Arial Narrow" w:cs="Garamond-Bold"/>
          <w:bCs/>
        </w:rPr>
      </w:pPr>
      <w:r w:rsidRPr="00B22ADE">
        <w:rPr>
          <w:rFonts w:ascii="Arial Narrow" w:hAnsi="Arial Narrow" w:cs="Garamond-Bold"/>
          <w:bCs/>
        </w:rPr>
        <w:t xml:space="preserve">EXPERIENCIA ADICIONAL Y/O FORMACIÓN ACADÉMICA DEL TALENTO </w:t>
      </w:r>
    </w:p>
    <w:p w:rsidR="003179C4" w:rsidRDefault="003179C4" w:rsidP="00B22ADE">
      <w:pPr>
        <w:pStyle w:val="NormalWeb"/>
        <w:jc w:val="both"/>
        <w:rPr>
          <w:rFonts w:ascii="Arial Narrow" w:hAnsi="Arial Narrow" w:cs="Garamond-Bold"/>
          <w:bCs/>
        </w:rPr>
      </w:pPr>
      <w:r>
        <w:rPr>
          <w:rFonts w:ascii="Arial Narrow" w:hAnsi="Arial Narrow" w:cs="Garamond-Bold"/>
          <w:bCs/>
        </w:rPr>
        <w:tab/>
      </w:r>
      <w:r w:rsidR="00B22ADE" w:rsidRPr="00B22ADE">
        <w:rPr>
          <w:rFonts w:ascii="Arial Narrow" w:hAnsi="Arial Narrow" w:cs="Garamond-Bold"/>
          <w:bCs/>
        </w:rPr>
        <w:t xml:space="preserve">HUMANO COMO FACTOR DE CALIFICACIÓN Y/O PONDERACIÓN </w:t>
      </w:r>
    </w:p>
    <w:p w:rsidR="00B22ADE" w:rsidRPr="00B22ADE" w:rsidRDefault="003179C4" w:rsidP="00B22ADE">
      <w:pPr>
        <w:pStyle w:val="NormalWeb"/>
        <w:jc w:val="both"/>
        <w:rPr>
          <w:rFonts w:ascii="Arial Narrow" w:hAnsi="Arial Narrow" w:cs="Garamond-Bold"/>
          <w:bCs/>
        </w:rPr>
      </w:pPr>
      <w:r>
        <w:rPr>
          <w:rFonts w:ascii="Arial Narrow" w:hAnsi="Arial Narrow" w:cs="Garamond-Bold"/>
          <w:bCs/>
        </w:rPr>
        <w:tab/>
      </w:r>
      <w:r w:rsidR="00B22ADE" w:rsidRPr="00B22ADE">
        <w:rPr>
          <w:rFonts w:ascii="Arial Narrow" w:hAnsi="Arial Narrow" w:cs="Garamond-Bold"/>
          <w:bCs/>
        </w:rPr>
        <w:t>EN PROCESOS DE LICITACIÓN PÚBLICA O S</w:t>
      </w:r>
      <w:r>
        <w:rPr>
          <w:rFonts w:ascii="Arial Narrow" w:hAnsi="Arial Narrow" w:cs="Garamond-Bold"/>
          <w:bCs/>
        </w:rPr>
        <w:t>AMC</w:t>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t>26</w:t>
      </w:r>
      <w:r w:rsidR="00932643">
        <w:rPr>
          <w:rFonts w:ascii="Arial Narrow" w:hAnsi="Arial Narrow" w:cs="Garamond-Bold"/>
          <w:bCs/>
        </w:rPr>
        <w:tab/>
      </w:r>
    </w:p>
    <w:p w:rsidR="003179C4" w:rsidRDefault="00B22ADE" w:rsidP="00B22ADE">
      <w:pPr>
        <w:pStyle w:val="NormalWeb"/>
        <w:jc w:val="both"/>
        <w:rPr>
          <w:rFonts w:ascii="Arial Narrow" w:hAnsi="Arial Narrow" w:cs="Garamond-Bold"/>
          <w:bCs/>
        </w:rPr>
      </w:pPr>
      <w:r w:rsidRPr="00B22ADE">
        <w:rPr>
          <w:rFonts w:ascii="Arial Narrow" w:hAnsi="Arial Narrow" w:cs="Garamond-Bold"/>
          <w:bCs/>
        </w:rPr>
        <w:t xml:space="preserve">FALLECIMIENTO DE UN CONSORCIADO FRENTE A LA ADJUDICACIÓN, </w:t>
      </w:r>
    </w:p>
    <w:p w:rsidR="00B22ADE" w:rsidRPr="00B22ADE" w:rsidRDefault="003179C4" w:rsidP="00B22ADE">
      <w:pPr>
        <w:pStyle w:val="NormalWeb"/>
        <w:jc w:val="both"/>
        <w:rPr>
          <w:rFonts w:ascii="Arial Narrow" w:hAnsi="Arial Narrow" w:cs="Garamond-Bold"/>
          <w:bCs/>
        </w:rPr>
      </w:pPr>
      <w:r>
        <w:rPr>
          <w:rFonts w:ascii="Arial Narrow" w:hAnsi="Arial Narrow" w:cs="Garamond-Bold"/>
          <w:bCs/>
        </w:rPr>
        <w:tab/>
      </w:r>
      <w:r w:rsidR="00B22ADE" w:rsidRPr="00B22ADE">
        <w:rPr>
          <w:rFonts w:ascii="Arial Narrow" w:hAnsi="Arial Narrow" w:cs="Garamond-Bold"/>
          <w:bCs/>
        </w:rPr>
        <w:t>CELEBRACIÓN Y EJECUCIÓN DEL CONTRATO.</w:t>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t>31</w:t>
      </w:r>
      <w:r w:rsidR="00932643">
        <w:rPr>
          <w:rFonts w:ascii="Arial Narrow" w:hAnsi="Arial Narrow" w:cs="Garamond-Bold"/>
          <w:bCs/>
        </w:rPr>
        <w:tab/>
      </w:r>
    </w:p>
    <w:p w:rsidR="00B22ADE" w:rsidRPr="00B22ADE" w:rsidRDefault="00B22ADE" w:rsidP="00B22ADE">
      <w:pPr>
        <w:pStyle w:val="NormalWeb"/>
        <w:jc w:val="both"/>
        <w:rPr>
          <w:rFonts w:ascii="Arial Narrow" w:hAnsi="Arial Narrow" w:cs="Garamond-Bold"/>
          <w:bCs/>
        </w:rPr>
      </w:pPr>
      <w:r w:rsidRPr="00B22ADE">
        <w:rPr>
          <w:rFonts w:ascii="Arial Narrow" w:hAnsi="Arial Narrow" w:cs="Garamond-Bold"/>
          <w:bCs/>
        </w:rPr>
        <w:t>FUERO DE ESTABILIDAD REFORZADA EN PERÍODO DE LACTANCIA</w:t>
      </w:r>
      <w:r w:rsidR="00932643">
        <w:rPr>
          <w:rFonts w:ascii="Arial Narrow" w:hAnsi="Arial Narrow" w:cs="Garamond-Bold"/>
          <w:bCs/>
        </w:rPr>
        <w:tab/>
      </w:r>
      <w:r w:rsidR="00932643">
        <w:rPr>
          <w:rFonts w:ascii="Arial Narrow" w:hAnsi="Arial Narrow" w:cs="Garamond-Bold"/>
          <w:bCs/>
        </w:rPr>
        <w:tab/>
        <w:t>34</w:t>
      </w:r>
    </w:p>
    <w:p w:rsidR="00B22ADE" w:rsidRPr="00B22ADE" w:rsidRDefault="00B22ADE" w:rsidP="00B22ADE">
      <w:pPr>
        <w:pStyle w:val="NormalWeb"/>
        <w:jc w:val="both"/>
        <w:rPr>
          <w:rFonts w:ascii="Arial Narrow" w:hAnsi="Arial Narrow" w:cs="Garamond-Bold"/>
          <w:bCs/>
        </w:rPr>
      </w:pPr>
      <w:r w:rsidRPr="00B22ADE">
        <w:rPr>
          <w:rFonts w:ascii="Arial Narrow" w:hAnsi="Arial Narrow" w:cs="Garamond-Bold"/>
          <w:bCs/>
        </w:rPr>
        <w:t>INCUMPLIMIENTO CONTRACTUAL – ELEMENTOS PARA INICIARLO</w:t>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t>43</w:t>
      </w:r>
    </w:p>
    <w:p w:rsidR="003179C4" w:rsidRDefault="00B22ADE" w:rsidP="00B22ADE">
      <w:pPr>
        <w:pStyle w:val="NormalWeb"/>
        <w:jc w:val="both"/>
        <w:rPr>
          <w:rFonts w:ascii="Arial Narrow" w:hAnsi="Arial Narrow" w:cs="Garamond-Bold"/>
          <w:bCs/>
        </w:rPr>
      </w:pPr>
      <w:r w:rsidRPr="00B22ADE">
        <w:rPr>
          <w:rFonts w:ascii="Arial Narrow" w:hAnsi="Arial Narrow" w:cs="Garamond-Bold"/>
          <w:bCs/>
        </w:rPr>
        <w:lastRenderedPageBreak/>
        <w:t xml:space="preserve">INGRESO DE BIENES AL ALMACÉN; RECONOCIMIENTO LIQUIDACIÓN DEL </w:t>
      </w:r>
    </w:p>
    <w:p w:rsidR="00B22ADE" w:rsidRDefault="003179C4" w:rsidP="00B22ADE">
      <w:pPr>
        <w:pStyle w:val="NormalWeb"/>
        <w:jc w:val="both"/>
        <w:rPr>
          <w:rFonts w:ascii="Arial Narrow" w:hAnsi="Arial Narrow" w:cs="Garamond-Bold"/>
          <w:bCs/>
        </w:rPr>
      </w:pPr>
      <w:r>
        <w:rPr>
          <w:rFonts w:ascii="Arial Narrow" w:hAnsi="Arial Narrow" w:cs="Garamond-Bold"/>
          <w:bCs/>
        </w:rPr>
        <w:tab/>
      </w:r>
      <w:r w:rsidR="00B22ADE" w:rsidRPr="00B22ADE">
        <w:rPr>
          <w:rFonts w:ascii="Arial Narrow" w:hAnsi="Arial Narrow" w:cs="Garamond-Bold"/>
          <w:bCs/>
        </w:rPr>
        <w:t>CONTRATO</w:t>
      </w:r>
      <w:r w:rsidR="00932643">
        <w:rPr>
          <w:rFonts w:ascii="Arial Narrow" w:hAnsi="Arial Narrow" w:cs="Garamond-Bold"/>
          <w:bCs/>
        </w:rPr>
        <w:t xml:space="preserve"> </w:t>
      </w:r>
      <w:r>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sidR="00932643">
        <w:rPr>
          <w:rFonts w:ascii="Arial Narrow" w:hAnsi="Arial Narrow" w:cs="Garamond-Bold"/>
          <w:bCs/>
        </w:rPr>
        <w:t>46</w:t>
      </w:r>
    </w:p>
    <w:p w:rsidR="003179C4" w:rsidRDefault="00A02925" w:rsidP="00A02925">
      <w:pPr>
        <w:spacing w:after="0" w:line="240" w:lineRule="auto"/>
        <w:jc w:val="both"/>
        <w:rPr>
          <w:rFonts w:ascii="Arial Narrow" w:hAnsi="Arial Narrow" w:cs="Garamond-Bold"/>
          <w:bCs/>
          <w:sz w:val="24"/>
          <w:szCs w:val="24"/>
        </w:rPr>
      </w:pPr>
      <w:r w:rsidRPr="00B22ADE">
        <w:rPr>
          <w:rFonts w:ascii="Arial Narrow" w:hAnsi="Arial Narrow" w:cs="Garamond-Bold"/>
          <w:bCs/>
          <w:sz w:val="24"/>
          <w:szCs w:val="24"/>
        </w:rPr>
        <w:t xml:space="preserve">LICITACIÓN PÚBLICA </w:t>
      </w:r>
      <w:r>
        <w:rPr>
          <w:rFonts w:ascii="Arial Narrow" w:hAnsi="Arial Narrow" w:cs="Garamond-Bold"/>
          <w:bCs/>
          <w:sz w:val="24"/>
          <w:szCs w:val="24"/>
        </w:rPr>
        <w:t xml:space="preserve">NO PROCEDE </w:t>
      </w:r>
      <w:r w:rsidRPr="00B22ADE">
        <w:rPr>
          <w:rFonts w:ascii="Arial Narrow" w:hAnsi="Arial Narrow" w:cs="Garamond-Bold"/>
          <w:bCs/>
          <w:sz w:val="24"/>
          <w:szCs w:val="24"/>
        </w:rPr>
        <w:t xml:space="preserve">PARA CELEBRAR CONTRATO DE </w:t>
      </w:r>
    </w:p>
    <w:p w:rsidR="00A02925" w:rsidRPr="00B22ADE" w:rsidRDefault="003179C4" w:rsidP="00A02925">
      <w:pPr>
        <w:spacing w:after="0" w:line="240" w:lineRule="auto"/>
        <w:jc w:val="both"/>
        <w:rPr>
          <w:rFonts w:ascii="Arial Narrow" w:hAnsi="Arial Narrow" w:cs="Garamond-Bold"/>
          <w:bCs/>
          <w:sz w:val="24"/>
          <w:szCs w:val="24"/>
        </w:rPr>
      </w:pPr>
      <w:r>
        <w:rPr>
          <w:rFonts w:ascii="Arial Narrow" w:hAnsi="Arial Narrow" w:cs="Garamond-Bold"/>
          <w:bCs/>
          <w:sz w:val="24"/>
          <w:szCs w:val="24"/>
        </w:rPr>
        <w:tab/>
      </w:r>
      <w:r w:rsidR="00A02925" w:rsidRPr="00B22ADE">
        <w:rPr>
          <w:rFonts w:ascii="Arial Narrow" w:hAnsi="Arial Narrow" w:cs="Garamond-Bold"/>
          <w:bCs/>
          <w:sz w:val="24"/>
          <w:szCs w:val="24"/>
        </w:rPr>
        <w:t>ARRENDAMIENTO</w:t>
      </w:r>
      <w:r w:rsidR="00A02925">
        <w:rPr>
          <w:rFonts w:ascii="Arial Narrow" w:hAnsi="Arial Narrow" w:cs="Garamond-Bold"/>
          <w:bCs/>
          <w:sz w:val="24"/>
          <w:szCs w:val="24"/>
        </w:rPr>
        <w:t xml:space="preserve"> EN VIGENCIA DE LEY DE GARANTIAS ELECTORALES</w:t>
      </w:r>
      <w:r w:rsidR="00932643">
        <w:rPr>
          <w:rFonts w:ascii="Arial Narrow" w:hAnsi="Arial Narrow" w:cs="Garamond-Bold"/>
          <w:bCs/>
          <w:sz w:val="24"/>
          <w:szCs w:val="24"/>
        </w:rPr>
        <w:tab/>
        <w:t>49</w:t>
      </w:r>
      <w:r w:rsidR="00932643">
        <w:rPr>
          <w:rFonts w:ascii="Arial Narrow" w:hAnsi="Arial Narrow" w:cs="Garamond-Bold"/>
          <w:bCs/>
          <w:sz w:val="24"/>
          <w:szCs w:val="24"/>
        </w:rPr>
        <w:tab/>
      </w:r>
    </w:p>
    <w:p w:rsidR="00B22ADE" w:rsidRPr="00B22ADE" w:rsidRDefault="00B22ADE" w:rsidP="00B22ADE">
      <w:pPr>
        <w:pStyle w:val="NormalWeb"/>
        <w:jc w:val="both"/>
        <w:rPr>
          <w:rFonts w:ascii="Arial Narrow" w:hAnsi="Arial Narrow" w:cs="Garamond-Bold"/>
          <w:bCs/>
        </w:rPr>
      </w:pPr>
      <w:r w:rsidRPr="00B22ADE">
        <w:rPr>
          <w:rFonts w:ascii="Arial Narrow" w:hAnsi="Arial Narrow" w:cs="Garamond-Bold"/>
          <w:bCs/>
        </w:rPr>
        <w:t>LIQUIDACIÓN DE CONTRATOS/PLAZOS/PAGOS A</w:t>
      </w:r>
      <w:r w:rsidR="005F6C07">
        <w:rPr>
          <w:rFonts w:ascii="Arial Narrow" w:hAnsi="Arial Narrow" w:cs="Garamond-Bold"/>
          <w:bCs/>
        </w:rPr>
        <w:t>L</w:t>
      </w:r>
      <w:r w:rsidRPr="00B22ADE">
        <w:rPr>
          <w:rFonts w:ascii="Arial Narrow" w:hAnsi="Arial Narrow" w:cs="Garamond-Bold"/>
          <w:bCs/>
        </w:rPr>
        <w:t xml:space="preserve"> CONTRATISTA</w:t>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t>51</w:t>
      </w:r>
    </w:p>
    <w:p w:rsidR="00B22ADE" w:rsidRDefault="00B22ADE" w:rsidP="00B22ADE">
      <w:pPr>
        <w:pStyle w:val="NormalWeb"/>
        <w:jc w:val="both"/>
        <w:rPr>
          <w:rFonts w:ascii="Arial Narrow" w:hAnsi="Arial Narrow" w:cs="Garamond-Bold"/>
          <w:bCs/>
        </w:rPr>
      </w:pPr>
      <w:r w:rsidRPr="00B22ADE">
        <w:rPr>
          <w:rFonts w:ascii="Arial Narrow" w:hAnsi="Arial Narrow" w:cs="Garamond-Bold"/>
          <w:bCs/>
        </w:rPr>
        <w:t>NOTIFICACIÓN ACTO ADMINISTRATIVO DE LIQUIDACIÓN</w:t>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t>57</w:t>
      </w:r>
    </w:p>
    <w:p w:rsidR="003179C4" w:rsidRDefault="003E0D55" w:rsidP="00B22ADE">
      <w:pPr>
        <w:pStyle w:val="NormalWeb"/>
        <w:jc w:val="both"/>
        <w:rPr>
          <w:rFonts w:ascii="Arial Narrow" w:hAnsi="Arial Narrow" w:cs="Garamond-Bold"/>
          <w:bCs/>
        </w:rPr>
      </w:pPr>
      <w:r w:rsidRPr="003E0D55">
        <w:rPr>
          <w:rFonts w:ascii="Arial Narrow" w:hAnsi="Arial Narrow" w:cs="Garamond-Bold"/>
          <w:bCs/>
        </w:rPr>
        <w:t xml:space="preserve">PAGO DE BIENES SOBRE LOS QUE NO SE PUEDE ACREDITAR INGRESO </w:t>
      </w:r>
    </w:p>
    <w:p w:rsidR="003E0D55" w:rsidRPr="00B22ADE" w:rsidRDefault="003179C4" w:rsidP="00B22ADE">
      <w:pPr>
        <w:pStyle w:val="NormalWeb"/>
        <w:jc w:val="both"/>
        <w:rPr>
          <w:rFonts w:ascii="Arial Narrow" w:hAnsi="Arial Narrow" w:cs="Garamond-Bold"/>
          <w:bCs/>
        </w:rPr>
      </w:pPr>
      <w:r>
        <w:rPr>
          <w:rFonts w:ascii="Arial Narrow" w:hAnsi="Arial Narrow" w:cs="Garamond-Bold"/>
          <w:bCs/>
        </w:rPr>
        <w:tab/>
      </w:r>
      <w:r w:rsidR="003E0D55" w:rsidRPr="003E0D55">
        <w:rPr>
          <w:rFonts w:ascii="Arial Narrow" w:hAnsi="Arial Narrow" w:cs="Garamond-Bold"/>
          <w:bCs/>
        </w:rPr>
        <w:t>A ALMACEN</w:t>
      </w:r>
      <w:r w:rsidR="00932643">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sidR="00932643">
        <w:rPr>
          <w:rFonts w:ascii="Arial Narrow" w:hAnsi="Arial Narrow" w:cs="Garamond-Bold"/>
          <w:bCs/>
        </w:rPr>
        <w:t>59</w:t>
      </w:r>
    </w:p>
    <w:p w:rsidR="003179C4" w:rsidRDefault="00B22ADE" w:rsidP="00B22ADE">
      <w:pPr>
        <w:pStyle w:val="NormalWeb"/>
        <w:jc w:val="both"/>
        <w:rPr>
          <w:rFonts w:ascii="Arial Narrow" w:hAnsi="Arial Narrow" w:cs="Garamond-Bold"/>
          <w:bCs/>
        </w:rPr>
      </w:pPr>
      <w:r w:rsidRPr="00B22ADE">
        <w:rPr>
          <w:rFonts w:ascii="Arial Narrow" w:hAnsi="Arial Narrow" w:cs="Garamond-Bold"/>
          <w:bCs/>
        </w:rPr>
        <w:t xml:space="preserve">PAGO DE FACTURA POR SERVICIOS PÚBLICOS PRESTADOS – </w:t>
      </w:r>
    </w:p>
    <w:p w:rsidR="00B22ADE" w:rsidRPr="00B22ADE" w:rsidRDefault="003179C4" w:rsidP="00B22ADE">
      <w:pPr>
        <w:pStyle w:val="NormalWeb"/>
        <w:jc w:val="both"/>
        <w:rPr>
          <w:rFonts w:ascii="Arial Narrow" w:hAnsi="Arial Narrow" w:cs="Garamond-Bold"/>
          <w:bCs/>
        </w:rPr>
      </w:pPr>
      <w:r>
        <w:rPr>
          <w:rFonts w:ascii="Arial Narrow" w:hAnsi="Arial Narrow" w:cs="Garamond-Bold"/>
          <w:bCs/>
        </w:rPr>
        <w:tab/>
      </w:r>
      <w:r w:rsidR="00B22ADE" w:rsidRPr="00B22ADE">
        <w:rPr>
          <w:rFonts w:ascii="Arial Narrow" w:hAnsi="Arial Narrow" w:cs="Garamond-Bold"/>
          <w:bCs/>
        </w:rPr>
        <w:t>DOCUMENTACIÓN INCOMPLETA</w:t>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t>63</w:t>
      </w:r>
    </w:p>
    <w:p w:rsidR="003179C4" w:rsidRDefault="00B22ADE" w:rsidP="00B22ADE">
      <w:pPr>
        <w:pStyle w:val="NormalWeb"/>
        <w:jc w:val="both"/>
        <w:rPr>
          <w:rFonts w:ascii="Arial Narrow" w:hAnsi="Arial Narrow" w:cs="Garamond-Bold"/>
          <w:bCs/>
        </w:rPr>
      </w:pPr>
      <w:r w:rsidRPr="00B22ADE">
        <w:rPr>
          <w:rFonts w:ascii="Arial Narrow" w:hAnsi="Arial Narrow" w:cs="Garamond-Bold"/>
          <w:bCs/>
        </w:rPr>
        <w:t xml:space="preserve">PRINCIPIOS DE LA CONTRATACIÓN ESTATAL/ SELECCIÓN OBJETIVA </w:t>
      </w:r>
    </w:p>
    <w:p w:rsidR="003179C4" w:rsidRDefault="003179C4" w:rsidP="00B22ADE">
      <w:pPr>
        <w:pStyle w:val="NormalWeb"/>
        <w:jc w:val="both"/>
        <w:rPr>
          <w:rFonts w:ascii="Arial Narrow" w:hAnsi="Arial Narrow" w:cs="Garamond-Bold"/>
          <w:bCs/>
        </w:rPr>
      </w:pPr>
      <w:r>
        <w:rPr>
          <w:rFonts w:ascii="Arial Narrow" w:hAnsi="Arial Narrow" w:cs="Garamond-Bold"/>
          <w:bCs/>
        </w:rPr>
        <w:tab/>
      </w:r>
      <w:r w:rsidR="00B22ADE" w:rsidRPr="00B22ADE">
        <w:rPr>
          <w:rFonts w:ascii="Arial Narrow" w:hAnsi="Arial Narrow" w:cs="Garamond-Bold"/>
          <w:bCs/>
        </w:rPr>
        <w:t xml:space="preserve">DE CONTRATISTAS/ FACULTAD INTERPRETATIVA DEL PLIEGO DE </w:t>
      </w:r>
    </w:p>
    <w:p w:rsidR="00B22ADE" w:rsidRPr="00B22ADE" w:rsidRDefault="003179C4" w:rsidP="00B22ADE">
      <w:pPr>
        <w:pStyle w:val="NormalWeb"/>
        <w:jc w:val="both"/>
        <w:rPr>
          <w:rFonts w:ascii="Arial Narrow" w:hAnsi="Arial Narrow" w:cs="Garamond-Bold"/>
          <w:bCs/>
        </w:rPr>
      </w:pPr>
      <w:r>
        <w:rPr>
          <w:rFonts w:ascii="Arial Narrow" w:hAnsi="Arial Narrow" w:cs="Garamond-Bold"/>
          <w:bCs/>
        </w:rPr>
        <w:tab/>
      </w:r>
      <w:r w:rsidR="00B22ADE" w:rsidRPr="00B22ADE">
        <w:rPr>
          <w:rFonts w:ascii="Arial Narrow" w:hAnsi="Arial Narrow" w:cs="Garamond-Bold"/>
          <w:bCs/>
        </w:rPr>
        <w:t>CONDICIONES</w:t>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r>
      <w:r w:rsidR="00932643">
        <w:rPr>
          <w:rFonts w:ascii="Arial Narrow" w:hAnsi="Arial Narrow" w:cs="Garamond-Bold"/>
          <w:bCs/>
        </w:rPr>
        <w:t>65</w:t>
      </w:r>
    </w:p>
    <w:p w:rsidR="00B22ADE" w:rsidRDefault="00B22ADE" w:rsidP="00B22ADE">
      <w:pPr>
        <w:pStyle w:val="NormalWeb"/>
        <w:jc w:val="both"/>
        <w:rPr>
          <w:rFonts w:ascii="Arial Narrow" w:hAnsi="Arial Narrow" w:cs="Garamond-Bold"/>
          <w:bCs/>
        </w:rPr>
      </w:pPr>
      <w:r w:rsidRPr="00B22ADE">
        <w:rPr>
          <w:rFonts w:ascii="Arial Narrow" w:hAnsi="Arial Narrow" w:cs="Garamond-Bold"/>
          <w:bCs/>
        </w:rPr>
        <w:t>RECONOCIMIENTO DE MAYORES CANTIDADES DE OBRA</w:t>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t>72</w:t>
      </w:r>
    </w:p>
    <w:p w:rsidR="00932643" w:rsidRPr="00B22ADE" w:rsidRDefault="00932643" w:rsidP="00B22ADE">
      <w:pPr>
        <w:pStyle w:val="NormalWeb"/>
        <w:jc w:val="both"/>
        <w:rPr>
          <w:rFonts w:ascii="Arial Narrow" w:hAnsi="Arial Narrow" w:cs="Garamond-Bold"/>
          <w:bCs/>
        </w:rPr>
      </w:pPr>
      <w:r>
        <w:rPr>
          <w:rFonts w:ascii="Arial Narrow" w:hAnsi="Arial Narrow" w:cs="Garamond-Bold"/>
          <w:bCs/>
        </w:rPr>
        <w:t>SEGURO DE RESPONSABILIDAD SERVIDORES PÚBLICOS</w:t>
      </w:r>
      <w:r>
        <w:rPr>
          <w:rFonts w:ascii="Arial Narrow" w:hAnsi="Arial Narrow" w:cs="Garamond-Bold"/>
          <w:bCs/>
        </w:rPr>
        <w:tab/>
      </w:r>
      <w:r>
        <w:rPr>
          <w:rFonts w:ascii="Arial Narrow" w:hAnsi="Arial Narrow" w:cs="Garamond-Bold"/>
          <w:bCs/>
        </w:rPr>
        <w:tab/>
      </w:r>
      <w:r>
        <w:rPr>
          <w:rFonts w:ascii="Arial Narrow" w:hAnsi="Arial Narrow" w:cs="Garamond-Bold"/>
          <w:bCs/>
        </w:rPr>
        <w:tab/>
      </w:r>
      <w:r>
        <w:rPr>
          <w:rFonts w:ascii="Arial Narrow" w:hAnsi="Arial Narrow" w:cs="Garamond-Bold"/>
          <w:bCs/>
        </w:rPr>
        <w:tab/>
        <w:t>76</w:t>
      </w:r>
    </w:p>
    <w:p w:rsidR="00B22ADE" w:rsidRPr="00B22ADE" w:rsidRDefault="00B22ADE" w:rsidP="00B22ADE">
      <w:pPr>
        <w:spacing w:after="0" w:line="240" w:lineRule="auto"/>
        <w:jc w:val="both"/>
        <w:rPr>
          <w:rFonts w:ascii="Arial Narrow" w:hAnsi="Arial Narrow" w:cs="Garamond-Bold"/>
          <w:bCs/>
          <w:sz w:val="24"/>
          <w:szCs w:val="24"/>
        </w:rPr>
      </w:pPr>
      <w:r w:rsidRPr="00B22ADE">
        <w:rPr>
          <w:rFonts w:ascii="Arial Narrow" w:hAnsi="Arial Narrow" w:cs="Garamond-Bold"/>
          <w:bCs/>
          <w:sz w:val="24"/>
          <w:szCs w:val="24"/>
        </w:rPr>
        <w:t>SUPERVISIÓN E INTERVENTORÍA CONTRACTUAL</w:t>
      </w:r>
      <w:r w:rsidR="00932643">
        <w:rPr>
          <w:rFonts w:ascii="Arial Narrow" w:hAnsi="Arial Narrow" w:cs="Garamond-Bold"/>
          <w:bCs/>
          <w:sz w:val="24"/>
          <w:szCs w:val="24"/>
        </w:rPr>
        <w:tab/>
      </w:r>
      <w:r w:rsidR="00932643">
        <w:rPr>
          <w:rFonts w:ascii="Arial Narrow" w:hAnsi="Arial Narrow" w:cs="Garamond-Bold"/>
          <w:bCs/>
          <w:sz w:val="24"/>
          <w:szCs w:val="24"/>
        </w:rPr>
        <w:tab/>
      </w:r>
      <w:r w:rsidR="00932643">
        <w:rPr>
          <w:rFonts w:ascii="Arial Narrow" w:hAnsi="Arial Narrow" w:cs="Garamond-Bold"/>
          <w:bCs/>
          <w:sz w:val="24"/>
          <w:szCs w:val="24"/>
        </w:rPr>
        <w:tab/>
      </w:r>
      <w:r w:rsidR="00932643">
        <w:rPr>
          <w:rFonts w:ascii="Arial Narrow" w:hAnsi="Arial Narrow" w:cs="Garamond-Bold"/>
          <w:bCs/>
          <w:sz w:val="24"/>
          <w:szCs w:val="24"/>
        </w:rPr>
        <w:tab/>
      </w:r>
      <w:r w:rsidR="00932643">
        <w:rPr>
          <w:rFonts w:ascii="Arial Narrow" w:hAnsi="Arial Narrow" w:cs="Garamond-Bold"/>
          <w:bCs/>
          <w:sz w:val="24"/>
          <w:szCs w:val="24"/>
        </w:rPr>
        <w:tab/>
        <w:t>81</w:t>
      </w:r>
    </w:p>
    <w:p w:rsidR="003179C4" w:rsidRDefault="00B22ADE" w:rsidP="00B22ADE">
      <w:pPr>
        <w:pStyle w:val="NormalWeb"/>
        <w:jc w:val="both"/>
        <w:rPr>
          <w:rFonts w:ascii="Arial Narrow" w:hAnsi="Arial Narrow" w:cs="Garamond-Bold"/>
          <w:bCs/>
        </w:rPr>
      </w:pPr>
      <w:r w:rsidRPr="00B22ADE">
        <w:rPr>
          <w:rFonts w:ascii="Arial Narrow" w:hAnsi="Arial Narrow" w:cs="Garamond-Bold"/>
          <w:bCs/>
        </w:rPr>
        <w:t xml:space="preserve">SUSPENSIÓN DE CONTRATO DE PRESTACIÓN DE SERVICIOS DURANTE </w:t>
      </w:r>
    </w:p>
    <w:p w:rsidR="00B22ADE" w:rsidRPr="00B22ADE" w:rsidRDefault="003179C4" w:rsidP="00B22ADE">
      <w:pPr>
        <w:pStyle w:val="NormalWeb"/>
        <w:jc w:val="both"/>
        <w:rPr>
          <w:rFonts w:ascii="Arial Narrow" w:hAnsi="Arial Narrow" w:cs="Garamond-Bold"/>
          <w:bCs/>
        </w:rPr>
      </w:pPr>
      <w:r>
        <w:rPr>
          <w:rFonts w:ascii="Arial Narrow" w:hAnsi="Arial Narrow" w:cs="Garamond-Bold"/>
          <w:bCs/>
        </w:rPr>
        <w:tab/>
      </w:r>
      <w:r w:rsidR="00B22ADE" w:rsidRPr="00B22ADE">
        <w:rPr>
          <w:rFonts w:ascii="Arial Narrow" w:hAnsi="Arial Narrow" w:cs="Garamond-Bold"/>
          <w:bCs/>
        </w:rPr>
        <w:t>LA LICENCIA DE MATERNIDAD</w:t>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r>
      <w:r w:rsidR="00932643">
        <w:rPr>
          <w:rFonts w:ascii="Arial Narrow" w:hAnsi="Arial Narrow" w:cs="Garamond-Bold"/>
          <w:bCs/>
        </w:rPr>
        <w:tab/>
        <w:t>85</w:t>
      </w:r>
    </w:p>
    <w:p w:rsidR="00B22ADE" w:rsidRDefault="00B22ADE" w:rsidP="00B22ADE">
      <w:pPr>
        <w:pStyle w:val="NormalWeb"/>
        <w:jc w:val="both"/>
        <w:rPr>
          <w:rFonts w:ascii="Arial Narrow" w:hAnsi="Arial Narrow" w:cs="Garamond-Bold"/>
          <w:b/>
          <w:bCs/>
        </w:rPr>
      </w:pPr>
    </w:p>
    <w:p w:rsidR="008564AD" w:rsidRPr="00B908AA" w:rsidRDefault="008564AD" w:rsidP="00A85D7E">
      <w:pPr>
        <w:autoSpaceDE w:val="0"/>
        <w:autoSpaceDN w:val="0"/>
        <w:adjustRightInd w:val="0"/>
        <w:spacing w:after="0" w:line="240" w:lineRule="auto"/>
        <w:rPr>
          <w:rFonts w:ascii="Arial Narrow" w:hAnsi="Arial Narrow" w:cs="Garamond-Bold"/>
          <w:b/>
          <w:bCs/>
          <w:color w:val="0021FF"/>
          <w:sz w:val="24"/>
          <w:szCs w:val="24"/>
        </w:rPr>
      </w:pPr>
    </w:p>
    <w:p w:rsidR="00B14C85" w:rsidRPr="00B908AA" w:rsidRDefault="00B14C85" w:rsidP="00A85D7E">
      <w:pPr>
        <w:autoSpaceDE w:val="0"/>
        <w:autoSpaceDN w:val="0"/>
        <w:adjustRightInd w:val="0"/>
        <w:spacing w:after="0" w:line="240" w:lineRule="auto"/>
        <w:rPr>
          <w:rFonts w:ascii="Arial Narrow" w:hAnsi="Arial Narrow" w:cs="Garamond-Bold"/>
          <w:b/>
          <w:bCs/>
          <w:color w:val="0021FF"/>
          <w:sz w:val="24"/>
          <w:szCs w:val="24"/>
        </w:rPr>
      </w:pPr>
    </w:p>
    <w:p w:rsidR="00B14C85" w:rsidRPr="00B908AA" w:rsidRDefault="00B14C85" w:rsidP="00A85D7E">
      <w:pPr>
        <w:autoSpaceDE w:val="0"/>
        <w:autoSpaceDN w:val="0"/>
        <w:adjustRightInd w:val="0"/>
        <w:spacing w:after="0" w:line="240" w:lineRule="auto"/>
        <w:rPr>
          <w:rFonts w:ascii="Arial Narrow" w:hAnsi="Arial Narrow" w:cs="Garamond-Bold"/>
          <w:b/>
          <w:bCs/>
          <w:color w:val="0021FF"/>
          <w:sz w:val="24"/>
          <w:szCs w:val="24"/>
        </w:rPr>
      </w:pPr>
    </w:p>
    <w:p w:rsidR="00B14C85" w:rsidRPr="00B908AA" w:rsidRDefault="00B14C85" w:rsidP="00A85D7E">
      <w:pPr>
        <w:autoSpaceDE w:val="0"/>
        <w:autoSpaceDN w:val="0"/>
        <w:adjustRightInd w:val="0"/>
        <w:spacing w:after="0" w:line="240" w:lineRule="auto"/>
        <w:rPr>
          <w:rFonts w:ascii="Arial Narrow" w:hAnsi="Arial Narrow" w:cs="Garamond-Bold"/>
          <w:b/>
          <w:bCs/>
          <w:color w:val="0021FF"/>
          <w:sz w:val="24"/>
          <w:szCs w:val="24"/>
        </w:rPr>
      </w:pPr>
    </w:p>
    <w:p w:rsidR="00B14C85" w:rsidRPr="00B908AA" w:rsidRDefault="00B14C85" w:rsidP="00A85D7E">
      <w:pPr>
        <w:autoSpaceDE w:val="0"/>
        <w:autoSpaceDN w:val="0"/>
        <w:adjustRightInd w:val="0"/>
        <w:spacing w:after="0" w:line="240" w:lineRule="auto"/>
        <w:rPr>
          <w:rFonts w:ascii="Arial Narrow" w:hAnsi="Arial Narrow" w:cs="Garamond-Bold"/>
          <w:b/>
          <w:bCs/>
          <w:color w:val="0021FF"/>
          <w:sz w:val="24"/>
          <w:szCs w:val="24"/>
        </w:rPr>
      </w:pPr>
    </w:p>
    <w:p w:rsidR="00B14C85" w:rsidRPr="00B908AA" w:rsidRDefault="00B14C85" w:rsidP="00A85D7E">
      <w:pPr>
        <w:autoSpaceDE w:val="0"/>
        <w:autoSpaceDN w:val="0"/>
        <w:adjustRightInd w:val="0"/>
        <w:spacing w:after="0" w:line="240" w:lineRule="auto"/>
        <w:rPr>
          <w:rFonts w:ascii="Arial Narrow" w:hAnsi="Arial Narrow" w:cs="Garamond-Bold"/>
          <w:b/>
          <w:bCs/>
          <w:color w:val="0021FF"/>
          <w:sz w:val="24"/>
          <w:szCs w:val="24"/>
        </w:rPr>
      </w:pPr>
    </w:p>
    <w:p w:rsidR="005A5C1F" w:rsidRPr="00B908AA" w:rsidRDefault="005A5C1F" w:rsidP="00A85D7E">
      <w:pPr>
        <w:autoSpaceDE w:val="0"/>
        <w:autoSpaceDN w:val="0"/>
        <w:adjustRightInd w:val="0"/>
        <w:spacing w:after="0" w:line="240" w:lineRule="auto"/>
        <w:rPr>
          <w:rFonts w:ascii="Arial Narrow" w:hAnsi="Arial Narrow" w:cs="Garamond-Bold"/>
          <w:b/>
          <w:bCs/>
          <w:color w:val="0021FF"/>
          <w:sz w:val="24"/>
          <w:szCs w:val="24"/>
        </w:rPr>
      </w:pPr>
    </w:p>
    <w:p w:rsidR="005A5C1F" w:rsidRPr="00B908AA" w:rsidRDefault="005A5C1F" w:rsidP="00A85D7E">
      <w:pPr>
        <w:autoSpaceDE w:val="0"/>
        <w:autoSpaceDN w:val="0"/>
        <w:adjustRightInd w:val="0"/>
        <w:spacing w:after="0" w:line="240" w:lineRule="auto"/>
        <w:rPr>
          <w:rFonts w:ascii="Arial Narrow" w:hAnsi="Arial Narrow" w:cs="Garamond-Bold"/>
          <w:b/>
          <w:bCs/>
          <w:color w:val="0021FF"/>
          <w:sz w:val="24"/>
          <w:szCs w:val="24"/>
        </w:rPr>
      </w:pPr>
    </w:p>
    <w:p w:rsidR="005A5C1F" w:rsidRPr="00B908AA" w:rsidRDefault="005A5C1F" w:rsidP="00A85D7E">
      <w:pPr>
        <w:autoSpaceDE w:val="0"/>
        <w:autoSpaceDN w:val="0"/>
        <w:adjustRightInd w:val="0"/>
        <w:spacing w:after="0" w:line="240" w:lineRule="auto"/>
        <w:rPr>
          <w:rFonts w:ascii="Arial Narrow" w:hAnsi="Arial Narrow" w:cs="Garamond-Bold"/>
          <w:b/>
          <w:bCs/>
          <w:color w:val="0021FF"/>
          <w:sz w:val="24"/>
          <w:szCs w:val="24"/>
        </w:rPr>
      </w:pPr>
    </w:p>
    <w:p w:rsidR="00B22ADE" w:rsidRDefault="00B22ADE" w:rsidP="00A85D7E">
      <w:pPr>
        <w:autoSpaceDE w:val="0"/>
        <w:autoSpaceDN w:val="0"/>
        <w:adjustRightInd w:val="0"/>
        <w:spacing w:after="0" w:line="240" w:lineRule="auto"/>
        <w:rPr>
          <w:rFonts w:ascii="Arial Narrow" w:hAnsi="Arial Narrow" w:cs="Garamond-Bold"/>
          <w:b/>
          <w:bCs/>
          <w:color w:val="0021FF"/>
          <w:sz w:val="24"/>
          <w:szCs w:val="24"/>
        </w:rPr>
      </w:pPr>
    </w:p>
    <w:p w:rsidR="003179C4" w:rsidRDefault="003179C4" w:rsidP="00A85D7E">
      <w:pPr>
        <w:autoSpaceDE w:val="0"/>
        <w:autoSpaceDN w:val="0"/>
        <w:adjustRightInd w:val="0"/>
        <w:spacing w:after="0" w:line="240" w:lineRule="auto"/>
        <w:rPr>
          <w:rFonts w:ascii="Arial Narrow" w:hAnsi="Arial Narrow" w:cs="Garamond-Bold"/>
          <w:b/>
          <w:bCs/>
          <w:color w:val="0021FF"/>
          <w:sz w:val="24"/>
          <w:szCs w:val="24"/>
        </w:rPr>
      </w:pPr>
    </w:p>
    <w:p w:rsidR="003179C4" w:rsidRDefault="003179C4" w:rsidP="00A85D7E">
      <w:pPr>
        <w:autoSpaceDE w:val="0"/>
        <w:autoSpaceDN w:val="0"/>
        <w:adjustRightInd w:val="0"/>
        <w:spacing w:after="0" w:line="240" w:lineRule="auto"/>
        <w:rPr>
          <w:rFonts w:ascii="Arial Narrow" w:hAnsi="Arial Narrow" w:cs="Garamond-Bold"/>
          <w:b/>
          <w:bCs/>
          <w:color w:val="0021FF"/>
          <w:sz w:val="24"/>
          <w:szCs w:val="24"/>
        </w:rPr>
      </w:pPr>
    </w:p>
    <w:p w:rsidR="003179C4" w:rsidRDefault="003179C4" w:rsidP="00A85D7E">
      <w:pPr>
        <w:autoSpaceDE w:val="0"/>
        <w:autoSpaceDN w:val="0"/>
        <w:adjustRightInd w:val="0"/>
        <w:spacing w:after="0" w:line="240" w:lineRule="auto"/>
        <w:rPr>
          <w:rFonts w:ascii="Arial Narrow" w:hAnsi="Arial Narrow" w:cs="Garamond-Bold"/>
          <w:b/>
          <w:bCs/>
          <w:color w:val="0021FF"/>
          <w:sz w:val="24"/>
          <w:szCs w:val="24"/>
        </w:rPr>
      </w:pPr>
    </w:p>
    <w:p w:rsidR="00B22ADE" w:rsidRDefault="00B22ADE" w:rsidP="00A85D7E">
      <w:pPr>
        <w:autoSpaceDE w:val="0"/>
        <w:autoSpaceDN w:val="0"/>
        <w:adjustRightInd w:val="0"/>
        <w:spacing w:after="0" w:line="240" w:lineRule="auto"/>
        <w:rPr>
          <w:rFonts w:ascii="Arial Narrow" w:hAnsi="Arial Narrow" w:cs="Garamond-Bold"/>
          <w:b/>
          <w:bCs/>
          <w:color w:val="0021FF"/>
          <w:sz w:val="24"/>
          <w:szCs w:val="24"/>
        </w:rPr>
      </w:pPr>
    </w:p>
    <w:p w:rsidR="00B917A3" w:rsidRDefault="00B917A3" w:rsidP="00A85D7E">
      <w:pPr>
        <w:autoSpaceDE w:val="0"/>
        <w:autoSpaceDN w:val="0"/>
        <w:adjustRightInd w:val="0"/>
        <w:spacing w:after="0" w:line="240" w:lineRule="auto"/>
        <w:rPr>
          <w:rFonts w:ascii="Arial Narrow" w:hAnsi="Arial Narrow" w:cs="Garamond-Bold"/>
          <w:b/>
          <w:bCs/>
          <w:sz w:val="24"/>
          <w:szCs w:val="24"/>
        </w:rPr>
      </w:pPr>
    </w:p>
    <w:p w:rsidR="008564AD" w:rsidRPr="00B908AA" w:rsidRDefault="008564AD" w:rsidP="00A85D7E">
      <w:pPr>
        <w:autoSpaceDE w:val="0"/>
        <w:autoSpaceDN w:val="0"/>
        <w:adjustRightInd w:val="0"/>
        <w:spacing w:after="0" w:line="240" w:lineRule="auto"/>
        <w:rPr>
          <w:rFonts w:ascii="Arial Narrow" w:hAnsi="Arial Narrow" w:cs="Garamond-Bold"/>
          <w:b/>
          <w:bCs/>
          <w:sz w:val="24"/>
          <w:szCs w:val="24"/>
        </w:rPr>
      </w:pPr>
      <w:r w:rsidRPr="00B908AA">
        <w:rPr>
          <w:rFonts w:ascii="Arial Narrow" w:hAnsi="Arial Narrow" w:cs="Garamond-Bold"/>
          <w:b/>
          <w:bCs/>
          <w:sz w:val="24"/>
          <w:szCs w:val="24"/>
        </w:rPr>
        <w:t>Introducción</w:t>
      </w:r>
    </w:p>
    <w:p w:rsidR="00A85D7E" w:rsidRPr="00B908AA" w:rsidRDefault="00A85D7E" w:rsidP="00A85D7E">
      <w:pPr>
        <w:autoSpaceDE w:val="0"/>
        <w:autoSpaceDN w:val="0"/>
        <w:adjustRightInd w:val="0"/>
        <w:spacing w:after="0" w:line="240" w:lineRule="auto"/>
        <w:rPr>
          <w:rFonts w:ascii="Arial Narrow" w:hAnsi="Arial Narrow" w:cs="Garamond-Bold"/>
          <w:b/>
          <w:bCs/>
          <w:color w:val="0021FF"/>
          <w:sz w:val="24"/>
          <w:szCs w:val="24"/>
        </w:rPr>
      </w:pPr>
    </w:p>
    <w:p w:rsidR="00F8134C" w:rsidRPr="00B908AA" w:rsidRDefault="00F8134C" w:rsidP="000A52EB">
      <w:pPr>
        <w:autoSpaceDE w:val="0"/>
        <w:autoSpaceDN w:val="0"/>
        <w:adjustRightInd w:val="0"/>
        <w:spacing w:after="0" w:line="240" w:lineRule="auto"/>
        <w:jc w:val="both"/>
        <w:rPr>
          <w:rFonts w:ascii="Arial Narrow" w:hAnsi="Arial Narrow" w:cs="Arial"/>
          <w:bCs/>
          <w:sz w:val="24"/>
          <w:szCs w:val="24"/>
        </w:rPr>
      </w:pPr>
    </w:p>
    <w:p w:rsidR="00156C56" w:rsidRDefault="00156C56" w:rsidP="000A52EB">
      <w:pPr>
        <w:autoSpaceDE w:val="0"/>
        <w:autoSpaceDN w:val="0"/>
        <w:adjustRightInd w:val="0"/>
        <w:spacing w:after="0" w:line="240" w:lineRule="auto"/>
        <w:jc w:val="both"/>
        <w:rPr>
          <w:rFonts w:ascii="Arial Narrow" w:hAnsi="Arial Narrow" w:cs="Arial"/>
          <w:bCs/>
          <w:sz w:val="24"/>
          <w:szCs w:val="24"/>
        </w:rPr>
      </w:pPr>
    </w:p>
    <w:p w:rsidR="00F8134C" w:rsidRPr="00B908AA" w:rsidRDefault="007B6DEC" w:rsidP="000A52EB">
      <w:pPr>
        <w:autoSpaceDE w:val="0"/>
        <w:autoSpaceDN w:val="0"/>
        <w:adjustRightInd w:val="0"/>
        <w:spacing w:after="0" w:line="240" w:lineRule="auto"/>
        <w:jc w:val="both"/>
        <w:rPr>
          <w:rFonts w:ascii="Arial Narrow" w:hAnsi="Arial Narrow" w:cs="Arial"/>
          <w:bCs/>
          <w:sz w:val="24"/>
          <w:szCs w:val="24"/>
        </w:rPr>
      </w:pPr>
      <w:r w:rsidRPr="00B908AA">
        <w:rPr>
          <w:rFonts w:ascii="Arial Narrow" w:hAnsi="Arial Narrow" w:cs="Arial"/>
          <w:bCs/>
          <w:sz w:val="24"/>
          <w:szCs w:val="24"/>
        </w:rPr>
        <w:t xml:space="preserve">La Secretaría Distrital de Gobierno, con la finalidad de contribuir a la difusión del conocimiento </w:t>
      </w:r>
      <w:r w:rsidR="00EE35FE">
        <w:rPr>
          <w:rFonts w:ascii="Arial Narrow" w:hAnsi="Arial Narrow" w:cs="Arial"/>
          <w:bCs/>
          <w:sz w:val="24"/>
          <w:szCs w:val="24"/>
        </w:rPr>
        <w:t xml:space="preserve">contenido en </w:t>
      </w:r>
      <w:r w:rsidRPr="00B908AA">
        <w:rPr>
          <w:rFonts w:ascii="Arial Narrow" w:hAnsi="Arial Narrow" w:cs="Arial"/>
          <w:bCs/>
          <w:sz w:val="24"/>
          <w:szCs w:val="24"/>
        </w:rPr>
        <w:t>los conceptos que se han proferido en materia de contratación estatal en la entidad, presenta la segunda entrega de los “</w:t>
      </w:r>
      <w:r w:rsidRPr="00B908AA">
        <w:rPr>
          <w:rFonts w:ascii="Arial Narrow" w:hAnsi="Arial Narrow" w:cs="Arial"/>
          <w:bCs/>
          <w:i/>
          <w:sz w:val="24"/>
          <w:szCs w:val="24"/>
        </w:rPr>
        <w:t>Conceptos Jurídicos Contractua</w:t>
      </w:r>
      <w:r w:rsidR="00F8134C" w:rsidRPr="00B908AA">
        <w:rPr>
          <w:rFonts w:ascii="Arial Narrow" w:hAnsi="Arial Narrow" w:cs="Arial"/>
          <w:bCs/>
          <w:i/>
          <w:sz w:val="24"/>
          <w:szCs w:val="24"/>
        </w:rPr>
        <w:t>les</w:t>
      </w:r>
      <w:r w:rsidRPr="00B908AA">
        <w:rPr>
          <w:rFonts w:ascii="Arial Narrow" w:hAnsi="Arial Narrow" w:cs="Arial"/>
          <w:bCs/>
          <w:sz w:val="24"/>
          <w:szCs w:val="24"/>
        </w:rPr>
        <w:t>”</w:t>
      </w:r>
      <w:r w:rsidR="00F8134C" w:rsidRPr="00B908AA">
        <w:rPr>
          <w:rFonts w:ascii="Arial Narrow" w:hAnsi="Arial Narrow" w:cs="Arial"/>
          <w:bCs/>
          <w:sz w:val="24"/>
          <w:szCs w:val="24"/>
        </w:rPr>
        <w:t>, que se espera sean de utilidad en la labor que desarrolla</w:t>
      </w:r>
      <w:r w:rsidR="00EE35FE">
        <w:rPr>
          <w:rFonts w:ascii="Arial Narrow" w:hAnsi="Arial Narrow" w:cs="Arial"/>
          <w:bCs/>
          <w:sz w:val="24"/>
          <w:szCs w:val="24"/>
        </w:rPr>
        <w:t>n</w:t>
      </w:r>
      <w:r w:rsidR="00F8134C" w:rsidRPr="00B908AA">
        <w:rPr>
          <w:rFonts w:ascii="Arial Narrow" w:hAnsi="Arial Narrow" w:cs="Arial"/>
          <w:bCs/>
          <w:sz w:val="24"/>
          <w:szCs w:val="24"/>
        </w:rPr>
        <w:t xml:space="preserve"> diariamente tanto </w:t>
      </w:r>
      <w:r w:rsidR="00EE35FE">
        <w:rPr>
          <w:rFonts w:ascii="Arial Narrow" w:hAnsi="Arial Narrow" w:cs="Arial"/>
          <w:bCs/>
          <w:sz w:val="24"/>
          <w:szCs w:val="24"/>
        </w:rPr>
        <w:t xml:space="preserve">servidores públicos como contratistas, </w:t>
      </w:r>
      <w:r w:rsidR="00F8134C" w:rsidRPr="00B908AA">
        <w:rPr>
          <w:rFonts w:ascii="Arial Narrow" w:hAnsi="Arial Narrow" w:cs="Arial"/>
          <w:bCs/>
          <w:sz w:val="24"/>
          <w:szCs w:val="24"/>
        </w:rPr>
        <w:t>en el Nivel Central de la entidad, como en las Localidades del Distrito Capital.</w:t>
      </w:r>
    </w:p>
    <w:p w:rsidR="006771F8" w:rsidRPr="00B908AA" w:rsidRDefault="006771F8" w:rsidP="006771F8">
      <w:pPr>
        <w:autoSpaceDE w:val="0"/>
        <w:autoSpaceDN w:val="0"/>
        <w:adjustRightInd w:val="0"/>
        <w:spacing w:after="0" w:line="240" w:lineRule="auto"/>
        <w:jc w:val="both"/>
        <w:rPr>
          <w:rFonts w:ascii="Arial Narrow" w:hAnsi="Arial Narrow" w:cs="Garamond-Bold"/>
          <w:b/>
          <w:bCs/>
          <w:color w:val="0021FF"/>
          <w:sz w:val="24"/>
          <w:szCs w:val="24"/>
        </w:rPr>
      </w:pPr>
    </w:p>
    <w:p w:rsidR="00156C56" w:rsidRDefault="00156C56" w:rsidP="009F4AE1">
      <w:pPr>
        <w:autoSpaceDE w:val="0"/>
        <w:autoSpaceDN w:val="0"/>
        <w:adjustRightInd w:val="0"/>
        <w:spacing w:after="0" w:line="240" w:lineRule="auto"/>
        <w:jc w:val="both"/>
        <w:rPr>
          <w:rFonts w:ascii="Arial Narrow" w:hAnsi="Arial Narrow" w:cs="Arial"/>
          <w:bCs/>
          <w:sz w:val="24"/>
          <w:szCs w:val="24"/>
        </w:rPr>
      </w:pPr>
    </w:p>
    <w:p w:rsidR="00F8134C" w:rsidRPr="00B908AA" w:rsidRDefault="00F8134C" w:rsidP="009F4AE1">
      <w:pPr>
        <w:autoSpaceDE w:val="0"/>
        <w:autoSpaceDN w:val="0"/>
        <w:adjustRightInd w:val="0"/>
        <w:spacing w:after="0" w:line="240" w:lineRule="auto"/>
        <w:jc w:val="both"/>
        <w:rPr>
          <w:rFonts w:ascii="Arial Narrow" w:hAnsi="Arial Narrow" w:cs="Garamond-Bold"/>
          <w:b/>
          <w:bCs/>
          <w:color w:val="0021FF"/>
          <w:sz w:val="24"/>
          <w:szCs w:val="24"/>
        </w:rPr>
      </w:pPr>
      <w:r w:rsidRPr="00B908AA">
        <w:rPr>
          <w:rFonts w:ascii="Arial Narrow" w:hAnsi="Arial Narrow" w:cs="Arial"/>
          <w:bCs/>
          <w:sz w:val="24"/>
          <w:szCs w:val="24"/>
        </w:rPr>
        <w:t xml:space="preserve">En esta oportunidad, se recogen conceptos </w:t>
      </w:r>
      <w:r w:rsidR="00156C56">
        <w:rPr>
          <w:rFonts w:ascii="Arial Narrow" w:hAnsi="Arial Narrow" w:cs="Arial"/>
          <w:bCs/>
          <w:sz w:val="24"/>
          <w:szCs w:val="24"/>
        </w:rPr>
        <w:t>en relación con Convenios Interadministrativos, Reconocimiento de pago a contratistas, delegación de funciones de ordenación de gastos, mayores cantidades de obra, incumplimiento contractual, liquidación de contratos, entre otros temas.</w:t>
      </w:r>
    </w:p>
    <w:p w:rsidR="00F8134C" w:rsidRPr="00B908AA" w:rsidRDefault="00F8134C" w:rsidP="003B00BA">
      <w:pPr>
        <w:autoSpaceDE w:val="0"/>
        <w:autoSpaceDN w:val="0"/>
        <w:adjustRightInd w:val="0"/>
        <w:spacing w:after="0" w:line="240" w:lineRule="auto"/>
        <w:jc w:val="both"/>
        <w:rPr>
          <w:rFonts w:ascii="Arial Narrow" w:hAnsi="Arial Narrow" w:cs="Arial"/>
          <w:bCs/>
          <w:sz w:val="24"/>
          <w:szCs w:val="24"/>
        </w:rPr>
      </w:pPr>
    </w:p>
    <w:p w:rsidR="00156C56" w:rsidRDefault="00156C56" w:rsidP="003B00BA">
      <w:pPr>
        <w:autoSpaceDE w:val="0"/>
        <w:autoSpaceDN w:val="0"/>
        <w:adjustRightInd w:val="0"/>
        <w:spacing w:after="0" w:line="240" w:lineRule="auto"/>
        <w:jc w:val="both"/>
        <w:rPr>
          <w:rFonts w:ascii="Arial Narrow" w:hAnsi="Arial Narrow" w:cs="Arial"/>
          <w:bCs/>
          <w:sz w:val="24"/>
          <w:szCs w:val="24"/>
        </w:rPr>
      </w:pPr>
    </w:p>
    <w:p w:rsidR="003B00BA" w:rsidRPr="00B908AA" w:rsidRDefault="00C921A8" w:rsidP="003B00BA">
      <w:pPr>
        <w:autoSpaceDE w:val="0"/>
        <w:autoSpaceDN w:val="0"/>
        <w:adjustRightInd w:val="0"/>
        <w:spacing w:after="0" w:line="240" w:lineRule="auto"/>
        <w:jc w:val="both"/>
        <w:rPr>
          <w:rFonts w:ascii="Arial Narrow" w:hAnsi="Arial Narrow" w:cs="Arial"/>
          <w:bCs/>
          <w:sz w:val="24"/>
          <w:szCs w:val="24"/>
        </w:rPr>
      </w:pPr>
      <w:r w:rsidRPr="00B908AA">
        <w:rPr>
          <w:rFonts w:ascii="Arial Narrow" w:hAnsi="Arial Narrow" w:cs="Arial"/>
          <w:bCs/>
          <w:sz w:val="24"/>
          <w:szCs w:val="24"/>
        </w:rPr>
        <w:t>E</w:t>
      </w:r>
      <w:r w:rsidR="00F20D31" w:rsidRPr="00B908AA">
        <w:rPr>
          <w:rFonts w:ascii="Arial Narrow" w:hAnsi="Arial Narrow" w:cs="Arial"/>
          <w:bCs/>
          <w:sz w:val="24"/>
          <w:szCs w:val="24"/>
        </w:rPr>
        <w:t>s</w:t>
      </w:r>
      <w:r w:rsidR="00156C56">
        <w:rPr>
          <w:rFonts w:ascii="Arial Narrow" w:hAnsi="Arial Narrow" w:cs="Arial"/>
          <w:bCs/>
          <w:sz w:val="24"/>
          <w:szCs w:val="24"/>
        </w:rPr>
        <w:t xml:space="preserve">peramos que la labor ejecutada por el nivel central y las Alcaldías Locales, que ha dado lugar a plantear inquietudes las que se orientan mediante los conceptos indicados, sirva de </w:t>
      </w:r>
      <w:r w:rsidR="00EE35FE">
        <w:rPr>
          <w:rFonts w:ascii="Arial Narrow" w:hAnsi="Arial Narrow" w:cs="Arial"/>
          <w:bCs/>
          <w:sz w:val="24"/>
          <w:szCs w:val="24"/>
        </w:rPr>
        <w:t>herramienta para</w:t>
      </w:r>
      <w:r w:rsidR="00156C56">
        <w:rPr>
          <w:rFonts w:ascii="Arial Narrow" w:hAnsi="Arial Narrow" w:cs="Arial"/>
          <w:bCs/>
          <w:sz w:val="24"/>
          <w:szCs w:val="24"/>
        </w:rPr>
        <w:t xml:space="preserve"> orientar el curso de sus actuaciones. Lo anterior, sin perjuicio de que </w:t>
      </w:r>
      <w:r w:rsidR="00F20D31" w:rsidRPr="00B908AA">
        <w:rPr>
          <w:rFonts w:ascii="Arial Narrow" w:hAnsi="Arial Narrow" w:cs="Arial"/>
          <w:bCs/>
          <w:sz w:val="24"/>
          <w:szCs w:val="24"/>
        </w:rPr>
        <w:t xml:space="preserve">en </w:t>
      </w:r>
      <w:r w:rsidRPr="00B908AA">
        <w:rPr>
          <w:rFonts w:ascii="Arial Narrow" w:hAnsi="Arial Narrow" w:cs="Arial"/>
          <w:bCs/>
          <w:sz w:val="24"/>
          <w:szCs w:val="24"/>
        </w:rPr>
        <w:t xml:space="preserve">la página web </w:t>
      </w:r>
      <w:r w:rsidR="00F20D31" w:rsidRPr="00B908AA">
        <w:rPr>
          <w:rFonts w:ascii="Arial Narrow" w:hAnsi="Arial Narrow" w:cs="Arial"/>
          <w:bCs/>
          <w:sz w:val="24"/>
          <w:szCs w:val="24"/>
        </w:rPr>
        <w:t xml:space="preserve">de la Secretaría Distrital de Gobierno puedan consultar el texto completo de los </w:t>
      </w:r>
      <w:r w:rsidRPr="00B908AA">
        <w:rPr>
          <w:rFonts w:ascii="Arial Narrow" w:hAnsi="Arial Narrow" w:cs="Arial"/>
          <w:bCs/>
          <w:sz w:val="24"/>
          <w:szCs w:val="24"/>
        </w:rPr>
        <w:t>conceptos que se consider</w:t>
      </w:r>
      <w:r w:rsidR="00F20D31" w:rsidRPr="00B908AA">
        <w:rPr>
          <w:rFonts w:ascii="Arial Narrow" w:hAnsi="Arial Narrow" w:cs="Arial"/>
          <w:bCs/>
          <w:sz w:val="24"/>
          <w:szCs w:val="24"/>
        </w:rPr>
        <w:t>ó pertinente publicar.</w:t>
      </w:r>
      <w:r w:rsidRPr="00B908AA">
        <w:rPr>
          <w:rFonts w:ascii="Arial Narrow" w:hAnsi="Arial Narrow" w:cs="Arial"/>
          <w:bCs/>
          <w:sz w:val="24"/>
          <w:szCs w:val="24"/>
        </w:rPr>
        <w:t xml:space="preserve"> </w:t>
      </w:r>
    </w:p>
    <w:p w:rsidR="00A06A74" w:rsidRPr="00B908AA" w:rsidRDefault="00A06A74" w:rsidP="003B00BA">
      <w:pPr>
        <w:autoSpaceDE w:val="0"/>
        <w:autoSpaceDN w:val="0"/>
        <w:adjustRightInd w:val="0"/>
        <w:spacing w:after="0" w:line="240" w:lineRule="auto"/>
        <w:jc w:val="both"/>
        <w:rPr>
          <w:rFonts w:ascii="Arial Narrow" w:hAnsi="Arial Narrow" w:cs="Arial"/>
          <w:bCs/>
          <w:sz w:val="24"/>
          <w:szCs w:val="24"/>
        </w:rPr>
      </w:pPr>
    </w:p>
    <w:p w:rsidR="00A06A74" w:rsidRPr="00B908AA" w:rsidRDefault="00A06A74" w:rsidP="003B00BA">
      <w:pPr>
        <w:autoSpaceDE w:val="0"/>
        <w:autoSpaceDN w:val="0"/>
        <w:adjustRightInd w:val="0"/>
        <w:spacing w:after="0" w:line="240" w:lineRule="auto"/>
        <w:jc w:val="both"/>
        <w:rPr>
          <w:rFonts w:ascii="Arial Narrow" w:hAnsi="Arial Narrow" w:cs="Arial"/>
          <w:bCs/>
          <w:sz w:val="24"/>
          <w:szCs w:val="24"/>
        </w:rPr>
      </w:pPr>
    </w:p>
    <w:p w:rsidR="00A06A74" w:rsidRPr="00B908AA" w:rsidRDefault="00A06A74" w:rsidP="003B00BA">
      <w:pPr>
        <w:autoSpaceDE w:val="0"/>
        <w:autoSpaceDN w:val="0"/>
        <w:adjustRightInd w:val="0"/>
        <w:spacing w:after="0" w:line="240" w:lineRule="auto"/>
        <w:jc w:val="both"/>
        <w:rPr>
          <w:rFonts w:ascii="Arial Narrow" w:hAnsi="Arial Narrow" w:cs="Arial"/>
          <w:bCs/>
          <w:sz w:val="24"/>
          <w:szCs w:val="24"/>
        </w:rPr>
      </w:pPr>
    </w:p>
    <w:p w:rsidR="00A06A74" w:rsidRPr="00B908AA" w:rsidRDefault="00A06A74" w:rsidP="003B00BA">
      <w:pPr>
        <w:autoSpaceDE w:val="0"/>
        <w:autoSpaceDN w:val="0"/>
        <w:adjustRightInd w:val="0"/>
        <w:spacing w:after="0" w:line="240" w:lineRule="auto"/>
        <w:jc w:val="both"/>
        <w:rPr>
          <w:rFonts w:ascii="Arial Narrow" w:hAnsi="Arial Narrow" w:cs="Arial"/>
          <w:bCs/>
          <w:sz w:val="24"/>
          <w:szCs w:val="24"/>
        </w:rPr>
      </w:pPr>
    </w:p>
    <w:p w:rsidR="00A06A74" w:rsidRPr="00B908AA" w:rsidRDefault="00A06A74" w:rsidP="003B00BA">
      <w:pPr>
        <w:autoSpaceDE w:val="0"/>
        <w:autoSpaceDN w:val="0"/>
        <w:adjustRightInd w:val="0"/>
        <w:spacing w:after="0" w:line="240" w:lineRule="auto"/>
        <w:jc w:val="both"/>
        <w:rPr>
          <w:rFonts w:ascii="Arial Narrow" w:hAnsi="Arial Narrow" w:cs="Arial"/>
          <w:bCs/>
          <w:sz w:val="24"/>
          <w:szCs w:val="24"/>
        </w:rPr>
      </w:pPr>
    </w:p>
    <w:p w:rsidR="00A06A74" w:rsidRPr="00B908AA" w:rsidRDefault="00A06A74" w:rsidP="006C202D">
      <w:pPr>
        <w:autoSpaceDE w:val="0"/>
        <w:autoSpaceDN w:val="0"/>
        <w:adjustRightInd w:val="0"/>
        <w:spacing w:after="0" w:line="240" w:lineRule="auto"/>
        <w:jc w:val="center"/>
        <w:rPr>
          <w:rFonts w:ascii="Arial Narrow" w:hAnsi="Arial Narrow" w:cs="Arial"/>
          <w:bCs/>
          <w:sz w:val="24"/>
          <w:szCs w:val="24"/>
        </w:rPr>
      </w:pPr>
    </w:p>
    <w:p w:rsidR="006C202D" w:rsidRPr="00B908AA" w:rsidRDefault="006C202D" w:rsidP="006C202D">
      <w:pPr>
        <w:autoSpaceDE w:val="0"/>
        <w:autoSpaceDN w:val="0"/>
        <w:adjustRightInd w:val="0"/>
        <w:spacing w:after="0" w:line="240" w:lineRule="auto"/>
        <w:jc w:val="center"/>
        <w:rPr>
          <w:rFonts w:ascii="Arial Narrow" w:hAnsi="Arial Narrow" w:cs="Arial"/>
          <w:bCs/>
          <w:sz w:val="24"/>
          <w:szCs w:val="24"/>
        </w:rPr>
      </w:pPr>
    </w:p>
    <w:p w:rsidR="006C202D" w:rsidRPr="00B908AA" w:rsidRDefault="006C202D" w:rsidP="006C202D">
      <w:pPr>
        <w:autoSpaceDE w:val="0"/>
        <w:autoSpaceDN w:val="0"/>
        <w:adjustRightInd w:val="0"/>
        <w:spacing w:after="0" w:line="240" w:lineRule="auto"/>
        <w:jc w:val="center"/>
        <w:rPr>
          <w:rFonts w:ascii="Arial Narrow" w:hAnsi="Arial Narrow" w:cs="Arial"/>
          <w:bCs/>
          <w:sz w:val="24"/>
          <w:szCs w:val="24"/>
        </w:rPr>
      </w:pPr>
    </w:p>
    <w:p w:rsidR="006C202D" w:rsidRPr="00B908AA" w:rsidRDefault="006C202D" w:rsidP="006C202D">
      <w:pPr>
        <w:autoSpaceDE w:val="0"/>
        <w:autoSpaceDN w:val="0"/>
        <w:adjustRightInd w:val="0"/>
        <w:spacing w:after="0" w:line="240" w:lineRule="auto"/>
        <w:jc w:val="center"/>
        <w:rPr>
          <w:rFonts w:ascii="Arial Narrow" w:hAnsi="Arial Narrow" w:cs="Arial"/>
          <w:bCs/>
          <w:sz w:val="24"/>
          <w:szCs w:val="24"/>
        </w:rPr>
      </w:pPr>
    </w:p>
    <w:p w:rsidR="006C202D" w:rsidRPr="00B908AA" w:rsidRDefault="006C202D" w:rsidP="006C202D">
      <w:pPr>
        <w:autoSpaceDE w:val="0"/>
        <w:autoSpaceDN w:val="0"/>
        <w:adjustRightInd w:val="0"/>
        <w:spacing w:after="0" w:line="240" w:lineRule="auto"/>
        <w:jc w:val="center"/>
        <w:rPr>
          <w:rFonts w:ascii="Arial Narrow" w:hAnsi="Arial Narrow" w:cs="Arial"/>
          <w:bCs/>
          <w:sz w:val="24"/>
          <w:szCs w:val="24"/>
        </w:rPr>
      </w:pPr>
    </w:p>
    <w:p w:rsidR="00F022E9" w:rsidRDefault="00F022E9" w:rsidP="006C202D">
      <w:pPr>
        <w:autoSpaceDE w:val="0"/>
        <w:autoSpaceDN w:val="0"/>
        <w:adjustRightInd w:val="0"/>
        <w:spacing w:after="0" w:line="240" w:lineRule="auto"/>
        <w:jc w:val="center"/>
        <w:rPr>
          <w:rFonts w:ascii="Arial Narrow" w:hAnsi="Arial Narrow" w:cs="Arial"/>
          <w:bCs/>
          <w:sz w:val="24"/>
          <w:szCs w:val="24"/>
        </w:rPr>
      </w:pPr>
    </w:p>
    <w:p w:rsidR="00F022E9" w:rsidRDefault="00F022E9" w:rsidP="006C202D">
      <w:pPr>
        <w:autoSpaceDE w:val="0"/>
        <w:autoSpaceDN w:val="0"/>
        <w:adjustRightInd w:val="0"/>
        <w:spacing w:after="0" w:line="240" w:lineRule="auto"/>
        <w:jc w:val="center"/>
        <w:rPr>
          <w:rFonts w:ascii="Arial Narrow" w:hAnsi="Arial Narrow" w:cs="Arial"/>
          <w:bCs/>
          <w:sz w:val="24"/>
          <w:szCs w:val="24"/>
        </w:rPr>
      </w:pPr>
    </w:p>
    <w:p w:rsidR="00F022E9" w:rsidRDefault="00F022E9" w:rsidP="006C202D">
      <w:pPr>
        <w:autoSpaceDE w:val="0"/>
        <w:autoSpaceDN w:val="0"/>
        <w:adjustRightInd w:val="0"/>
        <w:spacing w:after="0" w:line="240" w:lineRule="auto"/>
        <w:jc w:val="center"/>
        <w:rPr>
          <w:rFonts w:ascii="Arial Narrow" w:hAnsi="Arial Narrow" w:cs="Arial"/>
          <w:bCs/>
          <w:sz w:val="24"/>
          <w:szCs w:val="24"/>
        </w:rPr>
      </w:pPr>
    </w:p>
    <w:p w:rsidR="0030605A" w:rsidRDefault="0030605A" w:rsidP="006C202D">
      <w:pPr>
        <w:autoSpaceDE w:val="0"/>
        <w:autoSpaceDN w:val="0"/>
        <w:adjustRightInd w:val="0"/>
        <w:spacing w:after="0" w:line="240" w:lineRule="auto"/>
        <w:jc w:val="center"/>
        <w:rPr>
          <w:rFonts w:ascii="Arial Narrow" w:hAnsi="Arial Narrow" w:cs="Arial"/>
          <w:bCs/>
          <w:sz w:val="24"/>
          <w:szCs w:val="24"/>
        </w:rPr>
      </w:pPr>
    </w:p>
    <w:p w:rsidR="0030605A" w:rsidRDefault="0030605A" w:rsidP="006C202D">
      <w:pPr>
        <w:autoSpaceDE w:val="0"/>
        <w:autoSpaceDN w:val="0"/>
        <w:adjustRightInd w:val="0"/>
        <w:spacing w:after="0" w:line="240" w:lineRule="auto"/>
        <w:jc w:val="center"/>
        <w:rPr>
          <w:rFonts w:ascii="Arial Narrow" w:hAnsi="Arial Narrow" w:cs="Arial"/>
          <w:bCs/>
          <w:sz w:val="24"/>
          <w:szCs w:val="24"/>
        </w:rPr>
      </w:pPr>
    </w:p>
    <w:p w:rsidR="0030605A" w:rsidRDefault="0030605A" w:rsidP="006C202D">
      <w:pPr>
        <w:autoSpaceDE w:val="0"/>
        <w:autoSpaceDN w:val="0"/>
        <w:adjustRightInd w:val="0"/>
        <w:spacing w:after="0" w:line="240" w:lineRule="auto"/>
        <w:jc w:val="center"/>
        <w:rPr>
          <w:rFonts w:ascii="Arial Narrow" w:hAnsi="Arial Narrow" w:cs="Arial"/>
          <w:bCs/>
          <w:sz w:val="24"/>
          <w:szCs w:val="24"/>
        </w:rPr>
      </w:pPr>
    </w:p>
    <w:p w:rsidR="0030605A" w:rsidRDefault="0030605A" w:rsidP="006C202D">
      <w:pPr>
        <w:autoSpaceDE w:val="0"/>
        <w:autoSpaceDN w:val="0"/>
        <w:adjustRightInd w:val="0"/>
        <w:spacing w:after="0" w:line="240" w:lineRule="auto"/>
        <w:jc w:val="center"/>
        <w:rPr>
          <w:rFonts w:ascii="Arial Narrow" w:hAnsi="Arial Narrow" w:cs="Arial"/>
          <w:bCs/>
          <w:sz w:val="24"/>
          <w:szCs w:val="24"/>
        </w:rPr>
      </w:pPr>
    </w:p>
    <w:p w:rsidR="0030605A" w:rsidRDefault="0030605A" w:rsidP="006C202D">
      <w:pPr>
        <w:autoSpaceDE w:val="0"/>
        <w:autoSpaceDN w:val="0"/>
        <w:adjustRightInd w:val="0"/>
        <w:spacing w:after="0" w:line="240" w:lineRule="auto"/>
        <w:jc w:val="center"/>
        <w:rPr>
          <w:rFonts w:ascii="Arial Narrow" w:hAnsi="Arial Narrow" w:cs="Arial"/>
          <w:bCs/>
          <w:sz w:val="24"/>
          <w:szCs w:val="24"/>
        </w:rPr>
      </w:pPr>
    </w:p>
    <w:p w:rsidR="0030605A" w:rsidRDefault="0030605A" w:rsidP="006C202D">
      <w:pPr>
        <w:autoSpaceDE w:val="0"/>
        <w:autoSpaceDN w:val="0"/>
        <w:adjustRightInd w:val="0"/>
        <w:spacing w:after="0" w:line="240" w:lineRule="auto"/>
        <w:jc w:val="center"/>
        <w:rPr>
          <w:rFonts w:ascii="Arial Narrow" w:hAnsi="Arial Narrow" w:cs="Arial"/>
          <w:bCs/>
          <w:sz w:val="24"/>
          <w:szCs w:val="24"/>
        </w:rPr>
      </w:pPr>
    </w:p>
    <w:tbl>
      <w:tblPr>
        <w:tblStyle w:val="Tablaconcuadrcula"/>
        <w:tblW w:w="8828" w:type="dxa"/>
        <w:tblLayout w:type="fixed"/>
        <w:tblLook w:val="04A0" w:firstRow="1" w:lastRow="0" w:firstColumn="1" w:lastColumn="0" w:noHBand="0" w:noVBand="1"/>
      </w:tblPr>
      <w:tblGrid>
        <w:gridCol w:w="2972"/>
        <w:gridCol w:w="5856"/>
      </w:tblGrid>
      <w:tr w:rsidR="00B119C3" w:rsidRPr="00B908AA" w:rsidTr="00BD629A">
        <w:trPr>
          <w:trHeight w:val="240"/>
        </w:trPr>
        <w:tc>
          <w:tcPr>
            <w:tcW w:w="2972" w:type="dxa"/>
          </w:tcPr>
          <w:p w:rsidR="00B119C3" w:rsidRPr="00B908AA" w:rsidRDefault="00B119C3" w:rsidP="00071F5B">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lastRenderedPageBreak/>
              <w:t>TEMA: ACUERDOS MARCO DE PRECIOS</w:t>
            </w:r>
          </w:p>
          <w:p w:rsidR="00B119C3" w:rsidRPr="00B908AA" w:rsidRDefault="00B119C3" w:rsidP="00071F5B">
            <w:pPr>
              <w:autoSpaceDE w:val="0"/>
              <w:autoSpaceDN w:val="0"/>
              <w:adjustRightInd w:val="0"/>
              <w:jc w:val="both"/>
              <w:rPr>
                <w:rFonts w:ascii="Arial Narrow" w:hAnsi="Arial Narrow" w:cs="Garamond-Bold"/>
                <w:b/>
                <w:bCs/>
                <w:sz w:val="24"/>
                <w:szCs w:val="24"/>
              </w:rPr>
            </w:pPr>
          </w:p>
        </w:tc>
        <w:tc>
          <w:tcPr>
            <w:tcW w:w="5856" w:type="dxa"/>
          </w:tcPr>
          <w:p w:rsidR="00B119C3" w:rsidRPr="00B908AA" w:rsidRDefault="00B119C3" w:rsidP="00071F5B">
            <w:pPr>
              <w:autoSpaceDE w:val="0"/>
              <w:autoSpaceDN w:val="0"/>
              <w:adjustRightInd w:val="0"/>
              <w:jc w:val="center"/>
              <w:rPr>
                <w:rFonts w:ascii="Arial Narrow" w:hAnsi="Arial Narrow" w:cs="Garamond-Bold"/>
                <w:b/>
                <w:bCs/>
                <w:sz w:val="24"/>
                <w:szCs w:val="24"/>
              </w:rPr>
            </w:pPr>
          </w:p>
          <w:p w:rsidR="00B119C3" w:rsidRPr="00B908AA" w:rsidRDefault="00B119C3" w:rsidP="00071F5B">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B119C3" w:rsidRPr="00B908AA" w:rsidTr="00BD629A">
        <w:tc>
          <w:tcPr>
            <w:tcW w:w="2972" w:type="dxa"/>
          </w:tcPr>
          <w:p w:rsidR="00B119C3" w:rsidRPr="00B908AA" w:rsidRDefault="00B119C3" w:rsidP="00071F5B">
            <w:pPr>
              <w:autoSpaceDE w:val="0"/>
              <w:autoSpaceDN w:val="0"/>
              <w:adjustRightInd w:val="0"/>
              <w:jc w:val="both"/>
              <w:rPr>
                <w:rFonts w:ascii="Arial Narrow" w:hAnsi="Arial Narrow" w:cs="Garamond-Bold"/>
                <w:bCs/>
                <w:sz w:val="24"/>
                <w:szCs w:val="24"/>
              </w:rPr>
            </w:pPr>
          </w:p>
          <w:p w:rsidR="00B119C3" w:rsidRPr="00B908AA" w:rsidRDefault="00B119C3" w:rsidP="00071F5B">
            <w:pPr>
              <w:autoSpaceDE w:val="0"/>
              <w:autoSpaceDN w:val="0"/>
              <w:adjustRightInd w:val="0"/>
              <w:jc w:val="both"/>
              <w:rPr>
                <w:rFonts w:ascii="Arial Narrow" w:hAnsi="Arial Narrow" w:cs="Garamond-Bold"/>
                <w:bCs/>
                <w:sz w:val="24"/>
                <w:szCs w:val="24"/>
              </w:rPr>
            </w:pPr>
          </w:p>
          <w:p w:rsidR="00B119C3" w:rsidRPr="00B908AA" w:rsidRDefault="00B119C3" w:rsidP="00071F5B">
            <w:pPr>
              <w:autoSpaceDE w:val="0"/>
              <w:autoSpaceDN w:val="0"/>
              <w:adjustRightInd w:val="0"/>
              <w:jc w:val="both"/>
              <w:rPr>
                <w:rFonts w:ascii="Arial Narrow" w:hAnsi="Arial Narrow" w:cs="Garamond-Bold"/>
                <w:bCs/>
                <w:sz w:val="24"/>
                <w:szCs w:val="24"/>
              </w:rPr>
            </w:pPr>
          </w:p>
          <w:p w:rsidR="00B119C3" w:rsidRPr="00B908AA" w:rsidRDefault="00B119C3" w:rsidP="00071F5B">
            <w:pPr>
              <w:autoSpaceDE w:val="0"/>
              <w:autoSpaceDN w:val="0"/>
              <w:adjustRightInd w:val="0"/>
              <w:jc w:val="both"/>
              <w:rPr>
                <w:rFonts w:ascii="Arial Narrow" w:hAnsi="Arial Narrow" w:cs="Garamond-Bold"/>
                <w:bCs/>
                <w:sz w:val="24"/>
                <w:szCs w:val="24"/>
              </w:rPr>
            </w:pPr>
          </w:p>
          <w:p w:rsidR="00B119C3" w:rsidRPr="00B908AA" w:rsidRDefault="00B119C3" w:rsidP="00071F5B">
            <w:pPr>
              <w:autoSpaceDE w:val="0"/>
              <w:autoSpaceDN w:val="0"/>
              <w:adjustRightInd w:val="0"/>
              <w:jc w:val="both"/>
              <w:rPr>
                <w:rFonts w:ascii="Arial Narrow" w:hAnsi="Arial Narrow" w:cs="Garamond-Bold"/>
                <w:bCs/>
                <w:sz w:val="24"/>
                <w:szCs w:val="24"/>
              </w:rPr>
            </w:pPr>
          </w:p>
          <w:p w:rsidR="00B119C3" w:rsidRPr="00B908AA" w:rsidRDefault="00B119C3" w:rsidP="00071F5B">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 </w:t>
            </w:r>
          </w:p>
        </w:tc>
        <w:tc>
          <w:tcPr>
            <w:tcW w:w="5856" w:type="dxa"/>
          </w:tcPr>
          <w:p w:rsidR="00B119C3" w:rsidRPr="00B908AA" w:rsidRDefault="00B119C3" w:rsidP="00071F5B">
            <w:pPr>
              <w:pStyle w:val="Sinespaciado1"/>
              <w:jc w:val="both"/>
              <w:rPr>
                <w:rFonts w:ascii="Arial Narrow" w:eastAsia="Times New Roman" w:hAnsi="Arial Narrow" w:cs="Times New Roman"/>
                <w:sz w:val="24"/>
                <w:szCs w:val="24"/>
                <w:lang w:val="es-ES"/>
              </w:rPr>
            </w:pPr>
            <w:r w:rsidRPr="00B908AA">
              <w:rPr>
                <w:rFonts w:ascii="Arial Narrow" w:hAnsi="Arial Narrow" w:cs="Garamond-Bold"/>
                <w:bCs/>
                <w:sz w:val="24"/>
                <w:szCs w:val="24"/>
              </w:rPr>
              <w:t>“(</w:t>
            </w:r>
            <w:r w:rsidR="00FB78B1" w:rsidRPr="00B908AA">
              <w:rPr>
                <w:rFonts w:ascii="Arial Narrow" w:hAnsi="Arial Narrow" w:cs="Garamond-Bold"/>
                <w:bCs/>
                <w:sz w:val="24"/>
                <w:szCs w:val="24"/>
              </w:rPr>
              <w:t>…)</w:t>
            </w:r>
            <w:r w:rsidR="00FB78B1" w:rsidRPr="00B908AA">
              <w:rPr>
                <w:rFonts w:ascii="Arial Narrow" w:eastAsia="Times New Roman" w:hAnsi="Arial Narrow" w:cs="Times New Roman"/>
                <w:kern w:val="0"/>
                <w:sz w:val="24"/>
                <w:szCs w:val="24"/>
                <w:lang w:val="es-ES"/>
              </w:rPr>
              <w:t xml:space="preserve"> El</w:t>
            </w:r>
            <w:r w:rsidRPr="00B908AA">
              <w:rPr>
                <w:rFonts w:ascii="Arial Narrow" w:eastAsia="Times New Roman" w:hAnsi="Arial Narrow" w:cs="Times New Roman"/>
                <w:kern w:val="0"/>
                <w:sz w:val="24"/>
                <w:szCs w:val="24"/>
                <w:lang w:val="es-ES"/>
              </w:rPr>
              <w:t xml:space="preserve"> literal a) del numeral 2 del artículo 2 de la Ley 1150 de 2007 en lo relacionado con los Acuerdos Marco de Precios señalo: </w:t>
            </w:r>
            <w:r w:rsidRPr="00B908AA">
              <w:rPr>
                <w:rFonts w:ascii="Arial Narrow" w:eastAsia="Times New Roman" w:hAnsi="Arial Narrow" w:cs="Times New Roman"/>
                <w:kern w:val="0"/>
                <w:sz w:val="24"/>
                <w:szCs w:val="24"/>
              </w:rPr>
              <w:t>a</w:t>
            </w:r>
            <w:r w:rsidRPr="00B908AA">
              <w:rPr>
                <w:rFonts w:ascii="Arial Narrow" w:eastAsia="Times New Roman" w:hAnsi="Arial Narrow" w:cs="Times New Roman"/>
                <w:sz w:val="24"/>
                <w:szCs w:val="24"/>
                <w:lang w:val="es-ES"/>
              </w:rPr>
              <w:t xml:space="preserve">)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 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 Negrillas nuestra. </w:t>
            </w:r>
            <w:r w:rsidRPr="00B908AA">
              <w:rPr>
                <w:rFonts w:ascii="Arial Narrow" w:eastAsia="Times New Roman" w:hAnsi="Arial Narrow" w:cs="Times New Roman"/>
                <w:kern w:val="0"/>
                <w:sz w:val="24"/>
                <w:szCs w:val="24"/>
                <w:lang w:val="es-ES"/>
              </w:rPr>
              <w:t xml:space="preserve">De igual forma, el parágrafo 5 de la disposición antes citada preciso lo siguiente:   </w:t>
            </w:r>
            <w:r w:rsidRPr="00B908AA">
              <w:rPr>
                <w:rFonts w:ascii="Arial Narrow" w:eastAsia="Times New Roman" w:hAnsi="Arial Narrow" w:cs="Times New Roman"/>
                <w:sz w:val="24"/>
                <w:szCs w:val="24"/>
                <w:lang w:val="es-ES"/>
              </w:rPr>
              <w:t xml:space="preserve">Parágrafo 5°. Los acuerdos marco de precios a que se refiere el inciso 2° del literal a) del numeral 2° del presente artículo, permitirán fijar las condiciones de oferta para la adquisición o suministro de bienes y servicios de características técnicas uniformes y de común utilización a las entidades estatales durante un período de tiempo determinado, en la forma, plazo y condiciones de entrega, calidad y garantía establecidas en el acuerdo. La selección de proveedores como consecuencia de la realización de un acuerdo marco de precios, </w:t>
            </w:r>
            <w:r w:rsidR="00FB78B1" w:rsidRPr="00B908AA">
              <w:rPr>
                <w:rFonts w:ascii="Arial Narrow" w:eastAsia="Times New Roman" w:hAnsi="Arial Narrow" w:cs="Times New Roman"/>
                <w:sz w:val="24"/>
                <w:szCs w:val="24"/>
                <w:lang w:val="es-ES"/>
              </w:rPr>
              <w:t>les</w:t>
            </w:r>
            <w:r w:rsidRPr="00B908AA">
              <w:rPr>
                <w:rFonts w:ascii="Arial Narrow" w:eastAsia="Times New Roman" w:hAnsi="Arial Narrow" w:cs="Times New Roman"/>
                <w:sz w:val="24"/>
                <w:szCs w:val="24"/>
                <w:lang w:val="es-ES"/>
              </w:rPr>
              <w:t xml:space="preserve"> dará a las entidades estatales que suscriban el acuerdo, la posibilidad </w:t>
            </w:r>
            <w:r w:rsidR="00FB78B1" w:rsidRPr="00B908AA">
              <w:rPr>
                <w:rFonts w:ascii="Arial Narrow" w:eastAsia="Times New Roman" w:hAnsi="Arial Narrow" w:cs="Times New Roman"/>
                <w:sz w:val="24"/>
                <w:szCs w:val="24"/>
                <w:lang w:val="es-ES"/>
              </w:rPr>
              <w:t>que,</w:t>
            </w:r>
            <w:r w:rsidRPr="00B908AA">
              <w:rPr>
                <w:rFonts w:ascii="Arial Narrow" w:eastAsia="Times New Roman" w:hAnsi="Arial Narrow" w:cs="Times New Roman"/>
                <w:sz w:val="24"/>
                <w:szCs w:val="24"/>
                <w:lang w:val="es-ES"/>
              </w:rPr>
              <w:t xml:space="preserve"> mediante órdenes de compra directa, adquieran los bienes y servicios ofrecidos.</w:t>
            </w:r>
          </w:p>
          <w:p w:rsidR="00B119C3" w:rsidRPr="00B908AA" w:rsidRDefault="00B119C3" w:rsidP="00071F5B">
            <w:pPr>
              <w:shd w:val="clear" w:color="auto" w:fill="FFFFFF"/>
              <w:jc w:val="both"/>
              <w:rPr>
                <w:rFonts w:ascii="Arial Narrow" w:hAnsi="Arial Narrow" w:cs="Garamond-Bold"/>
                <w:bCs/>
                <w:sz w:val="24"/>
                <w:szCs w:val="24"/>
              </w:rPr>
            </w:pPr>
            <w:r w:rsidRPr="00B908AA">
              <w:rPr>
                <w:rFonts w:ascii="Arial Narrow" w:eastAsia="Times New Roman" w:hAnsi="Arial Narrow" w:cs="Times New Roman"/>
                <w:sz w:val="24"/>
                <w:szCs w:val="24"/>
                <w:lang w:val="es-ES"/>
              </w:rPr>
              <w:t>En consecuencia, entre cada una de las entidades que formulen órdenes directas de compra y el respectivo proveedor se formará un contrato en los términos y condiciones previstos en el respectivo acuerdo.</w:t>
            </w:r>
            <w:r w:rsidRPr="00B908AA">
              <w:rPr>
                <w:rFonts w:ascii="Arial Narrow" w:hAnsi="Arial Narrow"/>
                <w:sz w:val="24"/>
                <w:szCs w:val="24"/>
              </w:rPr>
              <w:t xml:space="preserve"> </w:t>
            </w:r>
            <w:r w:rsidRPr="00B908AA">
              <w:rPr>
                <w:rFonts w:ascii="Arial Narrow" w:eastAsia="Times New Roman" w:hAnsi="Arial Narrow" w:cs="Times New Roman"/>
                <w:sz w:val="24"/>
                <w:szCs w:val="24"/>
                <w:lang w:val="es-ES"/>
              </w:rPr>
              <w:t>El Gobierno Nacional señalará la entidad o entidades que tendrán a su cargo el diseño, organización y celebración de los acuerdos marco de precios. El reglamento establecerá las condiciones bajo las cuales el uso de acuerdos marco de precios se hará obligatorio para las entidades de la Rama Ejecutiva del Poder Público en el Orden Nacional, sometidas al Estatuto General de Contratación de la Administración Pública.</w:t>
            </w:r>
            <w:r w:rsidRPr="00B908AA">
              <w:rPr>
                <w:rFonts w:ascii="Arial Narrow" w:hAnsi="Arial Narrow"/>
                <w:sz w:val="24"/>
                <w:szCs w:val="24"/>
              </w:rPr>
              <w:t xml:space="preserve"> </w:t>
            </w:r>
            <w:r w:rsidRPr="00B908AA">
              <w:rPr>
                <w:rFonts w:ascii="Arial Narrow" w:eastAsia="Times New Roman" w:hAnsi="Arial Narrow" w:cs="Times New Roman"/>
                <w:sz w:val="24"/>
                <w:szCs w:val="24"/>
                <w:lang w:val="es-ES"/>
              </w:rPr>
              <w:t>En el caso de los Organismos Autónomos y de las Ramas Legislativa y Judicial, así como las Entidades Territoriales, las mismas podrán diseñar, organizar y celebrar acuerdos marco de precios propios, sin perjuicio de que puedan adherirse a los acuerdos marco a que se refiere el inciso anterior.</w:t>
            </w:r>
            <w:r w:rsidRPr="00B908AA">
              <w:rPr>
                <w:rFonts w:ascii="Arial Narrow" w:hAnsi="Arial Narrow"/>
                <w:sz w:val="24"/>
                <w:szCs w:val="24"/>
              </w:rPr>
              <w:t xml:space="preserve"> </w:t>
            </w:r>
            <w:r w:rsidRPr="00B908AA">
              <w:rPr>
                <w:rFonts w:ascii="Arial Narrow" w:eastAsia="Times New Roman" w:hAnsi="Arial Narrow" w:cs="Times New Roman"/>
                <w:sz w:val="24"/>
                <w:szCs w:val="24"/>
                <w:lang w:val="es-ES"/>
              </w:rPr>
              <w:t xml:space="preserve">Como reglamentación a los acuerdos marcos de precio, el Gobierno Nacional expidió entre otros, el Decreto 4170 de 2011 mediante la cual se creó la Agencia Nacional de </w:t>
            </w:r>
            <w:r w:rsidRPr="00B908AA">
              <w:rPr>
                <w:rFonts w:ascii="Arial Narrow" w:eastAsia="Times New Roman" w:hAnsi="Arial Narrow" w:cs="Times New Roman"/>
                <w:sz w:val="24"/>
                <w:szCs w:val="24"/>
                <w:lang w:val="es-ES"/>
              </w:rPr>
              <w:lastRenderedPageBreak/>
              <w:t>Contratación Pública – Colombia Compra Eficiente, y posteriormente el Decreto Reglamentario 1082 de 2015, este último en lo relacionado con la aplicación de los acuerdos marco de precios para las Entidades Territoriales dispuso:</w:t>
            </w:r>
            <w:r w:rsidRPr="00B908AA">
              <w:rPr>
                <w:rFonts w:ascii="Arial Narrow" w:hAnsi="Arial Narrow"/>
                <w:sz w:val="24"/>
                <w:szCs w:val="24"/>
              </w:rPr>
              <w:t xml:space="preserve"> </w:t>
            </w:r>
            <w:r w:rsidRPr="00B908AA">
              <w:rPr>
                <w:rFonts w:ascii="Arial Narrow" w:hAnsi="Arial Narrow" w:cs="Times New Roman"/>
                <w:sz w:val="24"/>
                <w:szCs w:val="24"/>
                <w:lang w:val="es-ES" w:eastAsia="zh-CN"/>
              </w:rPr>
              <w:t>Artículo 2.2.1.2.1.2.7. Procedencia del Acuerdo Marco de Precios. Las Entidades Estatales de la Rama Ejecutiva del Poder Público del orden nacional, obligadas a aplicar la </w:t>
            </w:r>
            <w:hyperlink r:id="rId8" w:history="1">
              <w:r w:rsidRPr="00B908AA">
                <w:rPr>
                  <w:rFonts w:ascii="Arial Narrow" w:hAnsi="Arial Narrow" w:cs="Times New Roman"/>
                  <w:sz w:val="24"/>
                  <w:szCs w:val="24"/>
                  <w:lang w:val="es-ES" w:eastAsia="zh-CN"/>
                </w:rPr>
                <w:t>Ley 80 de 1993</w:t>
              </w:r>
            </w:hyperlink>
            <w:r w:rsidRPr="00B908AA">
              <w:rPr>
                <w:rFonts w:ascii="Arial Narrow" w:hAnsi="Arial Narrow" w:cs="Times New Roman"/>
                <w:sz w:val="24"/>
                <w:szCs w:val="24"/>
                <w:lang w:val="es-ES" w:eastAsia="zh-CN"/>
              </w:rPr>
              <w:t> y la </w:t>
            </w:r>
            <w:hyperlink r:id="rId9" w:history="1">
              <w:r w:rsidRPr="00B908AA">
                <w:rPr>
                  <w:rFonts w:ascii="Arial Narrow" w:hAnsi="Arial Narrow" w:cs="Times New Roman"/>
                  <w:sz w:val="24"/>
                  <w:szCs w:val="24"/>
                  <w:lang w:val="es-ES" w:eastAsia="zh-CN"/>
                </w:rPr>
                <w:t>Ley 1150 de 2007</w:t>
              </w:r>
            </w:hyperlink>
            <w:r w:rsidRPr="00B908AA">
              <w:rPr>
                <w:rFonts w:ascii="Arial Narrow" w:hAnsi="Arial Narrow" w:cs="Times New Roman"/>
                <w:sz w:val="24"/>
                <w:szCs w:val="24"/>
                <w:lang w:val="es-ES" w:eastAsia="zh-CN"/>
              </w:rPr>
              <w:t>, o las normas que las modifiquen, aclaren, adicionen o sustituyan, están obligadas a adquirir Bienes y Servicios de Características Técnicas Uniformes a través de los Acuerdos Marco de Precios vigentes.</w:t>
            </w:r>
            <w:r w:rsidRPr="00B908AA">
              <w:rPr>
                <w:rFonts w:ascii="Arial Narrow" w:hAnsi="Arial Narrow"/>
                <w:sz w:val="24"/>
                <w:szCs w:val="24"/>
              </w:rPr>
              <w:t xml:space="preserve"> </w:t>
            </w:r>
            <w:r w:rsidRPr="00B908AA">
              <w:rPr>
                <w:rFonts w:ascii="Arial Narrow" w:hAnsi="Arial Narrow" w:cs="Times New Roman"/>
                <w:sz w:val="24"/>
                <w:szCs w:val="24"/>
                <w:lang w:val="es-ES" w:eastAsia="zh-CN"/>
              </w:rPr>
              <w:t>Las entidades territoriales, los organismos autónomos y los pertenecientes a la Rama Legislativa y Judicial no están obligados a adquirir Bienes y Servicios de Características Técnicas Uniformes a través de los Acuerdos Marco de Precios, pero están facultados para hacerlo.</w:t>
            </w:r>
            <w:r w:rsidRPr="00B908AA">
              <w:rPr>
                <w:rFonts w:ascii="Arial Narrow" w:hAnsi="Arial Narrow"/>
                <w:sz w:val="24"/>
                <w:szCs w:val="24"/>
              </w:rPr>
              <w:t xml:space="preserve"> </w:t>
            </w:r>
            <w:r w:rsidRPr="00B908AA">
              <w:rPr>
                <w:rFonts w:ascii="Arial Narrow" w:eastAsia="Times New Roman" w:hAnsi="Arial Narrow" w:cs="Times New Roman"/>
                <w:sz w:val="24"/>
                <w:szCs w:val="24"/>
                <w:lang w:val="es-ES"/>
              </w:rPr>
              <w:t xml:space="preserve">Ahora, si bien las disposiciones antes señaladas eximen a los Entes Territoriales del uso obligatorio de los acuerdos marco de precios, también los facultan no solo para su utilización, sino también para la suscripción directa de los mismos; todo ello en beneficio de las eficiencias económicas que generan, por lo que pese a la existencia de dicha posibilidad, nos permitimos señalar como primera medida que, para el año 2016 no existía acuerdo marco de precios suscrito por la Agencia Nacional de Contratación Pública - Colombia Compra Eficiente para la adquisición de equipos de cómputo a cargo de las Entidades Estatales de Orden Nacional y como segundo aspecto a partir de la vigencia fiscal 2016 y a la fecha no existe directriz o acuerdo marco de precio suscrito por parte de los Fondos de Desarrollo local (Alcaldías Locales ) para la adquisición de estos equipos. </w:t>
            </w:r>
          </w:p>
        </w:tc>
      </w:tr>
      <w:tr w:rsidR="00B119C3" w:rsidRPr="00B908AA" w:rsidTr="00BD629A">
        <w:tc>
          <w:tcPr>
            <w:tcW w:w="2972" w:type="dxa"/>
          </w:tcPr>
          <w:p w:rsidR="00B119C3" w:rsidRPr="00B908AA" w:rsidRDefault="00B119C3" w:rsidP="00071F5B">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Fecha: 15-05-2018</w:t>
            </w:r>
          </w:p>
          <w:p w:rsidR="00B119C3" w:rsidRPr="00B908AA" w:rsidRDefault="00B119C3" w:rsidP="00071F5B">
            <w:pPr>
              <w:autoSpaceDE w:val="0"/>
              <w:autoSpaceDN w:val="0"/>
              <w:adjustRightInd w:val="0"/>
              <w:rPr>
                <w:rFonts w:ascii="Arial Narrow" w:hAnsi="Arial Narrow" w:cs="Garamond-Bold"/>
                <w:b/>
                <w:bCs/>
                <w:sz w:val="24"/>
                <w:szCs w:val="24"/>
              </w:rPr>
            </w:pPr>
          </w:p>
        </w:tc>
        <w:tc>
          <w:tcPr>
            <w:tcW w:w="5856" w:type="dxa"/>
          </w:tcPr>
          <w:p w:rsidR="00B119C3" w:rsidRPr="00B908AA" w:rsidRDefault="00B119C3" w:rsidP="00071F5B">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 Lúbar Andrés Chaparro Cabra. Subsecretario de Gestión Institucional.</w:t>
            </w:r>
          </w:p>
        </w:tc>
      </w:tr>
      <w:tr w:rsidR="000749CC" w:rsidRPr="00B908AA" w:rsidTr="00BD629A">
        <w:tc>
          <w:tcPr>
            <w:tcW w:w="2972" w:type="dxa"/>
          </w:tcPr>
          <w:p w:rsidR="000749CC" w:rsidRPr="00B908AA" w:rsidRDefault="000749CC" w:rsidP="000749CC">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TEMA: COMODATO/DE BIENES EXISTENTES EN CENTRO DE RESERVA LOCAL PARA ATENDER EMERGENCIAS Y DESASTRES/ EN LEY DE GARANTÍAS</w:t>
            </w:r>
          </w:p>
        </w:tc>
        <w:tc>
          <w:tcPr>
            <w:tcW w:w="5856" w:type="dxa"/>
          </w:tcPr>
          <w:p w:rsidR="000749CC" w:rsidRPr="00B908AA" w:rsidRDefault="000749CC" w:rsidP="000749CC">
            <w:pPr>
              <w:autoSpaceDE w:val="0"/>
              <w:autoSpaceDN w:val="0"/>
              <w:adjustRightInd w:val="0"/>
              <w:jc w:val="center"/>
              <w:rPr>
                <w:rFonts w:ascii="Arial Narrow" w:hAnsi="Arial Narrow" w:cs="Garamond-Bold"/>
                <w:b/>
                <w:bCs/>
                <w:sz w:val="24"/>
                <w:szCs w:val="24"/>
              </w:rPr>
            </w:pPr>
          </w:p>
          <w:p w:rsidR="000749CC" w:rsidRPr="00B908AA" w:rsidRDefault="000749CC" w:rsidP="000749CC">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0749CC" w:rsidRPr="00B908AA" w:rsidTr="00BD629A">
        <w:tc>
          <w:tcPr>
            <w:tcW w:w="2972" w:type="dxa"/>
          </w:tcPr>
          <w:p w:rsidR="000749CC" w:rsidRPr="00B908AA" w:rsidRDefault="000749CC" w:rsidP="000749CC">
            <w:pPr>
              <w:autoSpaceDE w:val="0"/>
              <w:autoSpaceDN w:val="0"/>
              <w:adjustRightInd w:val="0"/>
              <w:jc w:val="both"/>
              <w:rPr>
                <w:rFonts w:ascii="Arial Narrow" w:hAnsi="Arial Narrow" w:cs="Garamond-Bold"/>
                <w:bCs/>
                <w:sz w:val="24"/>
                <w:szCs w:val="24"/>
              </w:rPr>
            </w:pPr>
          </w:p>
          <w:p w:rsidR="000749CC" w:rsidRPr="00B908AA" w:rsidRDefault="000749CC" w:rsidP="000749CC">
            <w:pPr>
              <w:autoSpaceDE w:val="0"/>
              <w:autoSpaceDN w:val="0"/>
              <w:adjustRightInd w:val="0"/>
              <w:jc w:val="both"/>
              <w:rPr>
                <w:rFonts w:ascii="Arial Narrow" w:hAnsi="Arial Narrow" w:cs="Garamond-Bold"/>
                <w:bCs/>
                <w:sz w:val="24"/>
                <w:szCs w:val="24"/>
              </w:rPr>
            </w:pPr>
          </w:p>
          <w:p w:rsidR="000749CC" w:rsidRPr="00B908AA" w:rsidRDefault="000749CC" w:rsidP="000749CC">
            <w:pPr>
              <w:autoSpaceDE w:val="0"/>
              <w:autoSpaceDN w:val="0"/>
              <w:adjustRightInd w:val="0"/>
              <w:jc w:val="both"/>
              <w:rPr>
                <w:rFonts w:ascii="Arial Narrow" w:hAnsi="Arial Narrow" w:cs="Garamond-Bold"/>
                <w:bCs/>
                <w:sz w:val="24"/>
                <w:szCs w:val="24"/>
              </w:rPr>
            </w:pPr>
          </w:p>
          <w:p w:rsidR="000749CC" w:rsidRPr="00B908AA" w:rsidRDefault="000749CC" w:rsidP="000749CC">
            <w:pPr>
              <w:autoSpaceDE w:val="0"/>
              <w:autoSpaceDN w:val="0"/>
              <w:adjustRightInd w:val="0"/>
              <w:jc w:val="both"/>
              <w:rPr>
                <w:rFonts w:ascii="Arial Narrow" w:hAnsi="Arial Narrow" w:cs="Garamond-Bold"/>
                <w:bCs/>
                <w:sz w:val="24"/>
                <w:szCs w:val="24"/>
              </w:rPr>
            </w:pPr>
          </w:p>
          <w:p w:rsidR="000749CC" w:rsidRPr="00B908AA" w:rsidRDefault="000749CC" w:rsidP="000749CC">
            <w:pPr>
              <w:autoSpaceDE w:val="0"/>
              <w:autoSpaceDN w:val="0"/>
              <w:adjustRightInd w:val="0"/>
              <w:jc w:val="both"/>
              <w:rPr>
                <w:rFonts w:ascii="Arial Narrow" w:hAnsi="Arial Narrow" w:cs="Garamond-Bold"/>
                <w:bCs/>
                <w:sz w:val="24"/>
                <w:szCs w:val="24"/>
              </w:rPr>
            </w:pPr>
          </w:p>
          <w:p w:rsidR="000749CC" w:rsidRPr="00B908AA" w:rsidRDefault="000749CC" w:rsidP="000749CC">
            <w:pPr>
              <w:autoSpaceDE w:val="0"/>
              <w:autoSpaceDN w:val="0"/>
              <w:adjustRightInd w:val="0"/>
              <w:jc w:val="both"/>
              <w:rPr>
                <w:rFonts w:ascii="Arial Narrow" w:hAnsi="Arial Narrow" w:cs="Garamond-Bold"/>
                <w:bCs/>
                <w:sz w:val="24"/>
                <w:szCs w:val="24"/>
              </w:rPr>
            </w:pPr>
          </w:p>
          <w:p w:rsidR="000749CC" w:rsidRPr="00B908AA" w:rsidRDefault="000749CC" w:rsidP="000749CC">
            <w:pPr>
              <w:autoSpaceDE w:val="0"/>
              <w:autoSpaceDN w:val="0"/>
              <w:adjustRightInd w:val="0"/>
              <w:jc w:val="both"/>
              <w:rPr>
                <w:rFonts w:ascii="Arial Narrow" w:hAnsi="Arial Narrow" w:cs="Garamond-Bold"/>
                <w:bCs/>
                <w:sz w:val="24"/>
                <w:szCs w:val="24"/>
              </w:rPr>
            </w:pPr>
          </w:p>
          <w:p w:rsidR="000749CC" w:rsidRPr="00B908AA" w:rsidRDefault="000749CC" w:rsidP="000749CC">
            <w:pPr>
              <w:autoSpaceDE w:val="0"/>
              <w:autoSpaceDN w:val="0"/>
              <w:adjustRightInd w:val="0"/>
              <w:jc w:val="both"/>
              <w:rPr>
                <w:rFonts w:ascii="Arial Narrow" w:hAnsi="Arial Narrow" w:cs="Garamond-Bold"/>
                <w:bCs/>
                <w:sz w:val="24"/>
                <w:szCs w:val="24"/>
              </w:rPr>
            </w:pPr>
          </w:p>
          <w:p w:rsidR="000749CC" w:rsidRPr="00B908AA" w:rsidRDefault="000749CC" w:rsidP="000749CC">
            <w:pPr>
              <w:autoSpaceDE w:val="0"/>
              <w:autoSpaceDN w:val="0"/>
              <w:adjustRightInd w:val="0"/>
              <w:jc w:val="both"/>
              <w:rPr>
                <w:rFonts w:ascii="Arial Narrow" w:hAnsi="Arial Narrow" w:cs="Garamond-Bold"/>
                <w:bCs/>
                <w:sz w:val="24"/>
                <w:szCs w:val="24"/>
              </w:rPr>
            </w:pPr>
          </w:p>
          <w:p w:rsidR="000749CC" w:rsidRPr="00B908AA" w:rsidRDefault="000749CC" w:rsidP="000749CC">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lastRenderedPageBreak/>
              <w:t xml:space="preserve"> </w:t>
            </w:r>
          </w:p>
        </w:tc>
        <w:tc>
          <w:tcPr>
            <w:tcW w:w="5856" w:type="dxa"/>
          </w:tcPr>
          <w:p w:rsidR="000749CC" w:rsidRPr="00B908AA" w:rsidRDefault="000749CC" w:rsidP="000749CC">
            <w:pPr>
              <w:pStyle w:val="NormalWeb"/>
              <w:jc w:val="both"/>
              <w:rPr>
                <w:rStyle w:val="l"/>
                <w:rFonts w:ascii="Arial Narrow" w:hAnsi="Arial Narrow" w:cstheme="minorBidi"/>
              </w:rPr>
            </w:pPr>
            <w:r w:rsidRPr="00B908AA">
              <w:rPr>
                <w:rStyle w:val="l"/>
                <w:rFonts w:ascii="Arial Narrow" w:eastAsiaTheme="minorHAnsi" w:hAnsi="Arial Narrow" w:cstheme="minorBidi"/>
                <w:lang w:eastAsia="en-US"/>
              </w:rPr>
              <w:lastRenderedPageBreak/>
              <w:t xml:space="preserve">(…) El comodato se clasifica dentro de los denominados contratos traslaticios del uso y disfrute de un bien y cuya característica esencial es su gratuidad. De conformidad con lo previsto en el artículo 32 de la ley 80 de 1993, las Entidades estatales pueden celebrar este tipo de contratos bajo las normas establecidas en el derecho privado, observando los límites señalados en normas especiales sobre la materia, en cuanto al tiempo máximo de duración y la destinación o uso que debe darse al bien. Ahora bien, con el único fin de prohibir los denominados </w:t>
            </w:r>
            <w:r w:rsidRPr="00B908AA">
              <w:rPr>
                <w:rStyle w:val="l"/>
                <w:rFonts w:ascii="Arial Narrow" w:eastAsiaTheme="minorHAnsi" w:hAnsi="Arial Narrow" w:cstheme="minorBidi"/>
                <w:lang w:eastAsia="en-US"/>
              </w:rPr>
              <w:lastRenderedPageBreak/>
              <w:t xml:space="preserve">auxilios con cargo al erario y en favor de personas naturales o jurídicas de derecho privado, la Constitución Política en el inciso 1 del artículo 355 señalo lo siguiente: “Ninguna de las ramas u órganos del poder público podrá decretar auxilios o donaciones en favor de personas naturales o jurídicas de derecho privado. Sin embargo, el inciso 2 de la misma disposición previó la posibilidad de que las entidades públicas celebraran contratos con entidades sin ánimo de lucro, para impulsar programas y actividades de interés público, en los siguientes términos así:  “El gobierno, en los niveles nacional, departamental, distrital y municipal podrá, con recursos de los respectivos presupuestos celebrar contratos con entidades privadas sin ánimo de lucro y de reconocida idoneidad con el fin de impulsar programas y actividades de interés público acordes con el plan nacional y los planes seccionales de desarrollo. El gobierno nacional reglamentará la materia”. Así las cosas, y bajo el entendido de que el comodato tiene por objeto entregar un bien de una entidad pública a otro sujeto público o privado sin contraprestación alguna, resulta indispensable pensar que, el comodato se encuentra comprendido dentro de los supuestos a que alude la referida norma constitucional y, por ende, debe tener por causa el impulso de programas y actividades de interés público.  La anterior afirmación es acertada, bajo el entendimiento de que el comodato tiene por objeto entregar un bien de una entidad pública a otro sujeto sin contraprestación alguna y ello, se encuadra fácticamente en los supuestos que indica la norma superior, siendo necesario que, a través del contrato en cuestión se impulsen programas y actividades de interés público, los cuales debe determinar claramente la entidad estatal desde la etapa de planeación del futuro contrato estatal. En consideración a lo expuesto, se tiene entonces que, el régimen jurídico respecto al procedimiento para la celebración de contratos de comodato por parte de las entidades estatales, se encuentra circunscrito a lo descrito en el artículo 355 de la Constitución Política de Colombia reglamentado por el Decreto Nacional 092 de 2017, por lo que previo a su suscripción, y siguiendo la misma línea argumentativa expuesta por esta Dirección de Contratación en comunicación con radicado 20174500378273 del 4 de septiembre de 2009 se considera pertinente atender los siguientes aspectos: (…)  1. Los contratos de comodato constituyen auténticos contratos estatales, teniendo en cuenta lo enseñado por los artículos 13 y 32 de la Ley 80 de 1993, especialmente la sinergia existente entre el derecho privado y lo establecido para los contratos del Estado.  2. Partiendo de la premisa anterior, se tiene que los contratos de comodato estatales según lo informa el artículo 38 de la ley 9° de 1989, únicamente podrán ser celebrados entre entidades públicas, </w:t>
            </w:r>
            <w:r w:rsidRPr="00B908AA">
              <w:rPr>
                <w:rStyle w:val="l"/>
                <w:rFonts w:ascii="Arial Narrow" w:eastAsiaTheme="minorHAnsi" w:hAnsi="Arial Narrow" w:cstheme="minorBidi"/>
                <w:lang w:eastAsia="en-US"/>
              </w:rPr>
              <w:lastRenderedPageBreak/>
              <w:t xml:space="preserve">sindicatos, cooperativas, asociaciones y fundaciones que no repartan utilidades entre sus asociados o fundadores, ni adjudiquen sus activos en el momento de su liquidación a los mismos, juntas de acción comunal, fondos de empleados y las demás que puedan asimilarse a las anteriores. 3. Los contratos de comodato dada la naturaleza de la cual participan y la finalidad que persiguen se encuadran en los acuerdos de voluntades regulados en el artículo 355 de la Constitución Política de Colombia, lo cual implica que debe tener como objeto impulsar programas y actividades de interés público1, los cuales debe determinar claramente la entidad estatal desde la etapa de planeación del futuro contrato estatal. 4. Bajo la interpretación anterior y con apoyo de la Jurisprudencia de la Sección Tercera de la Sala de lo Contencioso Administrativo del Consejo de Estado, se tiene que en lo que respecta al procedimiento precontractual, aquel que resulta aplicable es el establecido para la celebración de estos acuerdos de voluntades contenido en el artículo 355 de la Constitución Política de Colombia, es decir, lo establecido en el Decreto Nacional 092 de 2017. 5. Así las cosas, para la suscripción de estos acuerdos de voluntades deberá observarse lo establecido en el Decreto Nacional 092 de 2017, especialmente lo referido a las exigencias que debe tener el asociado y los procedimientos que establece la normativa2. (…). Por otra parte, y en lo relacionado con las restricciones contempladas en los artículos 33 y el parágrafo del artículo 38 de la Ley 996 de 2005 los cuales disponen:   (..) Artículo 33. Restricciones a la contratación pública. Durante los cuatro (4) meses anteriores a la elección presidencial y hasta la realización de la elección en la segunda vuelta, si fuere el caso, queda prohibida la contratación directa por parte de todos los entes del Estado. Queda exceptuado lo referente a la defensa y seguridad del Estado, los contratos de crédito público, los requeridos para cubrir las emergencias educativas, sanitarias y desastres, así como también los utilizados para la reconstrucción de vías, puentes, carreteras, infraestructura energética y de comunicaciones, en caso de que hayan sido objeto de atentados, acciones terroristas, de sastres naturales o casos de fuerza mayor, y los que deban realizar las entidades sanitarias y hospitalarias. Artículo 38 Prohibiciones a los servidores Públicos. Parágrafo. Los Gobernadores, Alcaldes Municipales y/o Distritales, Secretarios, Gerentes y directores de Entidades Descentralizadas del orden Municipal, Departamental o Distrital, dentro de los cuatro (4) meses anteriores a las elecciones, no podrán celebrar convenios interadministrativos para la ejecución de recursos públicos, ni participar, promover y destinar recursos públicos de las entidades a su cargo, como tampoco de las que participen como miembros de sus juntas directivas, en o para </w:t>
            </w:r>
            <w:r w:rsidRPr="00B908AA">
              <w:rPr>
                <w:rStyle w:val="l"/>
                <w:rFonts w:ascii="Arial Narrow" w:eastAsiaTheme="minorHAnsi" w:hAnsi="Arial Narrow" w:cstheme="minorBidi"/>
                <w:lang w:eastAsia="en-US"/>
              </w:rPr>
              <w:lastRenderedPageBreak/>
              <w:t>reuniones de carácter proselitista. Esta Dirección considera acertado concluir que, pese a que los contratos de comodato suscritos por las Entidades Públicas se encuentran cobijados por una normativa especial (artículo 355 CP y Decreto 092 de 2017), en donde de conformidad con el artículo 4 de esta última norma, procede por vía de excepción la realización de un proceso competitivo cuando exista en el mercado más de una Entidad Sin Ánimo de Lucro con reconocida idoneidad, que pueda desarrollar el programa o actividad de interés público, tales contratos se encuentran cobijados por las restricciones legales antes señaladas (art. 33 y 38 de la Ley 996 de 2005). Por lo que, frente a las consideraciones expuestas en su solicitud y al no evidenciarse circunstancia alguna que haga procedente la aplicación de las excepciones consignas en la Ley tales como: “Defensa y seguridad del Estado, los contratos de crédito público, los requeridos para cubrir las emergencias educativas, sanitarias y desastres, así como también los utilizados para la reconstrucción de vías, puentes, carreteras, infraestructura energética y de comunicaciones, en caso de que hayan sido objeto de atentados, acciones terroristas, desastres naturales o casos de fuerza mayor, y los que deban realizar las entidades sanitarias y hospitalarias”. debe el Fondo de Desarrollo de Local de Engativá abstenerse de celebrar contratos de comodato, durante el periodo que dure las restricciones consignadas en la Ley.  Finalmente, y por tratarse de bienes que forman parte del Centro de Reserva Local, los cuales tienen como propósito atender desastres y situaciones de calamidad originadas en eventos de origen natural o antrópico según lo dispone el Decreto 969 de 1995, tales comodatos podrán ser celebrados siempre y cuando estos elementos no sean requeridos por el Fondo de Desarrollo Local para atender las situaciones antes descritas y siempre y cuando observen los siguientes presupuestos: i. Ser suscritos con entidades operativas del Sistema Nacional para la Prevención y Atención de Desastres tales como: (1. Defensa Civil Colombiana. 2. Cruz Roja Colombiana. 3. Cuerpo de bomberos de la ciudad capital, o 4. Otra entidad operativa especializada en búsqueda, rescate y salvamento)</w:t>
            </w:r>
            <w:r w:rsidR="00FB78B1" w:rsidRPr="00B908AA">
              <w:rPr>
                <w:rStyle w:val="l"/>
                <w:rFonts w:ascii="Arial Narrow" w:eastAsiaTheme="minorHAnsi" w:hAnsi="Arial Narrow" w:cstheme="minorBidi"/>
                <w:lang w:eastAsia="en-US"/>
              </w:rPr>
              <w:t>; ii.</w:t>
            </w:r>
            <w:r w:rsidRPr="00B908AA">
              <w:rPr>
                <w:rStyle w:val="l"/>
                <w:rFonts w:ascii="Arial Narrow" w:eastAsiaTheme="minorHAnsi" w:hAnsi="Arial Narrow" w:cstheme="minorBidi"/>
                <w:lang w:eastAsia="en-US"/>
              </w:rPr>
              <w:t xml:space="preserve"> La destinación de los bienes dados en comodato deberá ser para la atención exclusiva de emergencias y desastres y; iii. Deberá contar con una estricta supervisión y seguimiento al uso de tales bienes.  </w:t>
            </w:r>
          </w:p>
        </w:tc>
      </w:tr>
      <w:tr w:rsidR="000749CC" w:rsidRPr="00B908AA" w:rsidTr="00BD629A">
        <w:tc>
          <w:tcPr>
            <w:tcW w:w="2972" w:type="dxa"/>
          </w:tcPr>
          <w:p w:rsidR="000749CC" w:rsidRPr="00B908AA" w:rsidRDefault="000749CC" w:rsidP="000749CC">
            <w:pPr>
              <w:autoSpaceDE w:val="0"/>
              <w:autoSpaceDN w:val="0"/>
              <w:adjustRightInd w:val="0"/>
              <w:rPr>
                <w:rFonts w:ascii="Arial Narrow" w:hAnsi="Arial Narrow" w:cs="Garamond-Bold"/>
                <w:b/>
                <w:bCs/>
                <w:sz w:val="24"/>
                <w:szCs w:val="24"/>
                <w:highlight w:val="yellow"/>
              </w:rPr>
            </w:pPr>
            <w:r w:rsidRPr="00B908AA">
              <w:rPr>
                <w:rFonts w:ascii="Arial Narrow" w:hAnsi="Arial Narrow" w:cs="Garamond-Bold"/>
                <w:b/>
                <w:bCs/>
                <w:sz w:val="24"/>
                <w:szCs w:val="24"/>
              </w:rPr>
              <w:lastRenderedPageBreak/>
              <w:t>Fecha: 6-04-2018</w:t>
            </w:r>
          </w:p>
          <w:p w:rsidR="000749CC" w:rsidRPr="00B908AA" w:rsidRDefault="000749CC" w:rsidP="000749CC">
            <w:pPr>
              <w:autoSpaceDE w:val="0"/>
              <w:autoSpaceDN w:val="0"/>
              <w:adjustRightInd w:val="0"/>
              <w:rPr>
                <w:rFonts w:ascii="Arial Narrow" w:hAnsi="Arial Narrow" w:cs="Garamond-Bold"/>
                <w:b/>
                <w:bCs/>
                <w:sz w:val="24"/>
                <w:szCs w:val="24"/>
                <w:highlight w:val="yellow"/>
              </w:rPr>
            </w:pPr>
          </w:p>
        </w:tc>
        <w:tc>
          <w:tcPr>
            <w:tcW w:w="5856" w:type="dxa"/>
          </w:tcPr>
          <w:p w:rsidR="000749CC" w:rsidRPr="00B908AA" w:rsidRDefault="000749CC" w:rsidP="000749CC">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Dra. Carmen Yolanda Villabona. Directora de Contratación Secretaría Distrital de Gobierno.</w:t>
            </w:r>
          </w:p>
        </w:tc>
      </w:tr>
      <w:tr w:rsidR="006447D4" w:rsidRPr="00B908AA" w:rsidTr="00BD629A">
        <w:tc>
          <w:tcPr>
            <w:tcW w:w="2972" w:type="dxa"/>
          </w:tcPr>
          <w:p w:rsidR="006447D4" w:rsidRPr="004B6538" w:rsidRDefault="006447D4" w:rsidP="006447D4">
            <w:pPr>
              <w:autoSpaceDE w:val="0"/>
              <w:autoSpaceDN w:val="0"/>
              <w:adjustRightInd w:val="0"/>
              <w:rPr>
                <w:rFonts w:ascii="Arial Narrow" w:hAnsi="Arial Narrow" w:cs="Garamond-Bold"/>
                <w:b/>
                <w:bCs/>
                <w:sz w:val="24"/>
                <w:szCs w:val="24"/>
              </w:rPr>
            </w:pPr>
            <w:r>
              <w:rPr>
                <w:rFonts w:ascii="Arial Narrow" w:hAnsi="Arial Narrow" w:cs="Garamond-Bold"/>
                <w:b/>
                <w:bCs/>
                <w:sz w:val="24"/>
                <w:szCs w:val="24"/>
              </w:rPr>
              <w:t>TEMA: COMODATO Y CONVENIOS SOLIDARIOS</w:t>
            </w:r>
          </w:p>
        </w:tc>
        <w:tc>
          <w:tcPr>
            <w:tcW w:w="5856" w:type="dxa"/>
          </w:tcPr>
          <w:p w:rsidR="006447D4" w:rsidRPr="00B908AA" w:rsidRDefault="006447D4" w:rsidP="006447D4">
            <w:pPr>
              <w:autoSpaceDE w:val="0"/>
              <w:autoSpaceDN w:val="0"/>
              <w:adjustRightInd w:val="0"/>
              <w:jc w:val="center"/>
              <w:rPr>
                <w:rFonts w:ascii="Arial Narrow" w:hAnsi="Arial Narrow" w:cs="Garamond-Bold"/>
                <w:b/>
                <w:bCs/>
                <w:sz w:val="24"/>
                <w:szCs w:val="24"/>
              </w:rPr>
            </w:pPr>
            <w:r>
              <w:rPr>
                <w:rFonts w:ascii="Arial Narrow" w:hAnsi="Arial Narrow" w:cs="Garamond-Bold"/>
                <w:b/>
                <w:bCs/>
                <w:sz w:val="24"/>
                <w:szCs w:val="24"/>
              </w:rPr>
              <w:t>TESIS</w:t>
            </w:r>
          </w:p>
        </w:tc>
      </w:tr>
      <w:tr w:rsidR="006447D4" w:rsidRPr="00B908AA" w:rsidTr="00BD629A">
        <w:tc>
          <w:tcPr>
            <w:tcW w:w="2972" w:type="dxa"/>
          </w:tcPr>
          <w:p w:rsidR="006447D4" w:rsidRPr="004B6538" w:rsidRDefault="006447D4" w:rsidP="006447D4">
            <w:pPr>
              <w:autoSpaceDE w:val="0"/>
              <w:autoSpaceDN w:val="0"/>
              <w:adjustRightInd w:val="0"/>
              <w:rPr>
                <w:rFonts w:ascii="Arial Narrow" w:hAnsi="Arial Narrow" w:cs="Garamond-Bold"/>
                <w:b/>
                <w:bCs/>
                <w:sz w:val="24"/>
                <w:szCs w:val="24"/>
              </w:rPr>
            </w:pPr>
          </w:p>
        </w:tc>
        <w:tc>
          <w:tcPr>
            <w:tcW w:w="5856" w:type="dxa"/>
          </w:tcPr>
          <w:p w:rsidR="006447D4" w:rsidRPr="00B908AA" w:rsidRDefault="006447D4" w:rsidP="006447D4">
            <w:pPr>
              <w:pStyle w:val="NormalWeb"/>
              <w:jc w:val="both"/>
              <w:rPr>
                <w:rFonts w:ascii="Arial Narrow" w:hAnsi="Arial Narrow" w:cs="Garamond-Bold"/>
                <w:b/>
                <w:bCs/>
              </w:rPr>
            </w:pPr>
            <w:r w:rsidRPr="00CF29CE">
              <w:t xml:space="preserve">El comodato se clasifica dentro de los denominados contratos traslaticios del uso y disfrute de un bien y cuya característica esencial es su gratuidad. Ahora bien, en lo </w:t>
            </w:r>
            <w:r w:rsidRPr="00CF29CE">
              <w:lastRenderedPageBreak/>
              <w:t xml:space="preserve">relacionado con la posibilidad que tienen las Entidades Públicas de dar bienes inmuebles en calidad de Comodato, el artículo 38 de la Ley 9 de 1989 consignó:  Artículo 38º.- Las entidades públicas no podrán dar en comodato sus inmuebles sino única-mente a otras entidades públicas, sindicatos, cooperativas, asociaciones y fundaciones que no repartan utilidades entre sus asociados o fundadores ni adjudiquen sus activos en el momento de su liquidación a los mismos, juntas de acción comunal, fondos de empleados y las demás que puedan asimilarse a las anteriores, y por un término máximo de cinco (5) años, renovables. Los contratos de comodato existentes, y que hayan sido celebrados por las entidades públicas con personas distintas de las señaladas en el inciso anterior, serán renegociados por las primeras para limitar su término a tres (3) años renovables, contados a partir de la promulgación de la presente Ley.  De la lectura del citado artículo 38 se deduce la consagración de una prohibición respecto de la celebración de contratos de comodato con personas distintas a las allí señaladas y una condición legal esencial para que los contratos que estaban en curso a la fecha de entrada en vigencia de dicha ley con personas distintas a las referidas en la norma pudiesen continuar. Así, la misma Ley 9 de 1989 dispuso una condición para la prórroga de los contratos de comodato suscritos con sujetos ajenos a “entidades públicas, sindicatos, cooperativas, asociaciones y fundaciones que no repartan utilidades entre sus asociados o fundadores ni adjudiquen sus activos en el momento de su liquidación a los mismos, juntas de acción comunal, fondos de empleados y las demás que puedan asimilarse a las anteriores”, y fue que se renegociaran para limitar su término a 3 años renovables, contados a partir de la promulgación de la ley.  No obstante, el artículo 32 de la ley 80 de 1993, posibilitó a las Entidades Estatales celebrar este tipo de contratos, bajo las normas establecidas en el derecho privado, observando los límites señalados en normas especiales sobre la materia, en cuanto al tiempo máximo de duración y la destinación o uso que debe darse al bien. Por lo que para aquellos eventos en los que la Entidad Estatal pretenda dar en comodato un bien inmueble, se deben atender los presupuestos consignados en el artículo 38 de la precitada Ley 9 de 1989.  Por otra parte, con la entrada en vigencia de la Ley 1551 del 06 de julio de 2012, norma expedida con el fin de modernizar la organización y el funcionamiento de los municipios, nace una nueva herramienta de cooperación para su desarrollo y crecimiento económico, definida en dicha Ley como </w:t>
            </w:r>
            <w:r w:rsidRPr="00CF29CE">
              <w:lastRenderedPageBreak/>
              <w:t>convenios solidarios. Es así que, el parágrafo 3 del artículo 6 de la norma antes señalada, posibilita mediante la suscripción de manera directa de estos convenios solidarios con los cabildos, las autoridades y organizaciones indígenas, los organismos de acción comunal y demás organizaciones civiles y asociaciones residentes en el territorio, el desarrollo conjunto de programas y actividades determinadas en la Ley para los Municipios veamos:  Artículo 6°. Funciones de los municipios. Corresponde al municipio</w:t>
            </w:r>
            <w:r w:rsidR="00FB78B1" w:rsidRPr="00CF29CE">
              <w:t>: (</w:t>
            </w:r>
            <w:r w:rsidRPr="00CF29CE">
              <w:t>…)16. En concordancia con lo establecido en el artículo 355 de la Constitución Política, los municipios y distritos podrán celebrar convenios solidarios con: los cabildos, las autoridades y organizaciones indígenas, los organismos de acción comunal y demás organizaciones civiles y asociaciones residentes en el territorio, para el desarrollo conjunto de programas y actividades establecidas por la Ley a los municipios y distritos, acorde con sus planes de desarrollo.</w:t>
            </w:r>
            <w:r>
              <w:t xml:space="preserve"> </w:t>
            </w:r>
            <w:r w:rsidRPr="00CF29CE">
              <w:t xml:space="preserve">Parágrafo 3°. Convenios Solidarios. Entiéndase por convenios solidarios la complementación de esfuerzos institucionales, comunitarios, económicos y sociales para la construcción de obras y la satisfacción de necesidades y aspiraciones de las comunidades (…). Parágrafo 4º. Se autoriza a los entes territoriales del orden departamental y municipal para celebrar directamente convenios solidarios con las juntas de acción comunal con el fin de ejecutar obras hasta por la mínima cuantía. Para la ejecución de estas deberán contratar con los habitantes de la comunidad. El organismo de acción comunal debe estar previamente legalizado y reconocido ante los organismos competentes. De la lectura anterior tenemos que, para la suscripción de los convenios solidarios se deben atender los siguientes requisitos: 1) Pueden ser suscritos por las Entidades Territoriales del Orden Departamental, Distrital o Municipal.    2) Se suscriben en aras de complementar esfuerzos institucionales, comunitarios, económicos y sociales. </w:t>
            </w:r>
            <w:r>
              <w:t>3</w:t>
            </w:r>
            <w:r w:rsidRPr="00CF29CE">
              <w:t>) Tienen como finalidad la construcción de obras y la satisfacción de las comunidades. 4) El monto de las obras que se pretenden realizar con estos convenios es hasta por la mínima cuantía de la entidad ejecutante.  5) El personal que se contrate para la ejecución de las obras, deben ser habitantes de la comunidad.</w:t>
            </w:r>
            <w:r>
              <w:t xml:space="preserve"> </w:t>
            </w:r>
            <w:r w:rsidRPr="00CF29CE">
              <w:t>6) La Junta de Acción Comunal con la que se pretenda suscribir el convenio debe estar legalmente reconocida ante las autoridades competentes</w:t>
            </w:r>
            <w:r>
              <w:t xml:space="preserve">. </w:t>
            </w:r>
            <w:r w:rsidRPr="00CF29CE">
              <w:t xml:space="preserve">De los presupuestos antes enunciados se desprenden marcadas diferencias entre los convenios solidarios a que hace relación la Ley 1551 de </w:t>
            </w:r>
            <w:r w:rsidRPr="00CF29CE">
              <w:lastRenderedPageBreak/>
              <w:t xml:space="preserve">2012 frente a los contratos de comodato tipificados en nuestro estatuto civil, no solo en lo relacionado con sus características esenciales, sino también a que ambas figuras jurídicas obedecen a fines completamente diferentes: PRINCIPALES DIFERENCIAS DE LOS CONVENIOS SOLIDARIOS Y LOS CONTRATOS DE COMODATO. 1). Si bien es cierto tanto los contratos de comodato y los convenios solidarios son utilizados como instrumentos de cooperación, la finalidad de los últimos son la construcción de obras y la satisfacción de las necesidades de la comunidad. 2) Una de las características esenciales del contrato de comodato es la gratuidad, en cambio en los convenios solidarios puede existir la contraprestación en favor de la Junta de Acción Comunal encargada de ejecutar la obra; contraprestación que, como lo señala el parágrafo 4 artículo 6 de la Ley 1551 de 2012 no puede superar la mínima cuantía de la Entidad ejecutante. 3) La suscripción de convenios solidarios obra por ministerio de la Ley, autorizando a las Entidades Territoriales del orden Departamental, Municipal y/o Distrital la suscripción de tales convenios con las Juntas de Acción Comunal.  4) El plazo de los convenios solidarios se encuentra sujeto a los principios presupuestales señalados en el Decreto 111 de 1996 como quiera que, la Entidad Departamental, Municipal o Distrital ejecutante destina recursos para la realización de las obras que se pretendan ejecutar con el convenio. 5) El plazo de ejecución de los contratos de comodato sobre bienes inmuebles entre Entidades Públicas no puede ser superior a cinco (5) años, renovables (art 38. Ley 9 de 1989). Los anteriores argumentos nos llevan a concluir que, tanto los contratos de comodato como los convenios solidarios son figuras jurídicas completamente diferentes que bajo ningún aspecto pueden ser equiparables entre </w:t>
            </w:r>
            <w:r w:rsidR="00FB78B1" w:rsidRPr="00CF29CE">
              <w:t>sí</w:t>
            </w:r>
            <w:r w:rsidRPr="00CF29CE">
              <w:t xml:space="preserve">, como quiera que obedecen a aspectos normativos sustancialmente diferentes, independientemente del ámbito de cooperación institucional que se pretende argumentar previa a su celebración.  Finalmente, en lo relacionado con los CONVENIOS DE USO DE BIENES PÚBLICOS Y/O DE USUFRUCTO COMUNITARIO señalado en el numeral 18 del artículo 6 de la misma Ley 1551 de 2012  para ser realizados con los cabildos, autoridades y organizaciones indígenas y con los organismos de acción comunal y otros organismos comunitarios, es claro que, los mismos obedecen al principio de responsabilidad y colaboración de los Municipios, en donde la norma con el fin de permitir a estas organizaciones el uso de bienes públicos en procura del desarrollo de la misma </w:t>
            </w:r>
            <w:r w:rsidRPr="00CF29CE">
              <w:lastRenderedPageBreak/>
              <w:t xml:space="preserve">organización, permite la suscripción de manera directa de estos convenios. Sin embargo pese al poco desarrollo legislativo y jurisprudencial de esta figura, consideramos que, la misma dista de asimilarse a los convenios solidarios señalados en los parágrafos 3 y 4 del mismo artículo 6, en atención a que el primero se circunscribe tan solo al aprovechamiento y utilización de un bien de uso público, mientras que el convenio solidario está encaminado al desarrollo conjunto de programas y actividades establecidas por la Ley a los Municipios mediante la construcción de obras para la satisfacción de las necesidades de la comunidad.  </w:t>
            </w:r>
          </w:p>
        </w:tc>
      </w:tr>
      <w:tr w:rsidR="006447D4" w:rsidRPr="00B908AA" w:rsidTr="00BD629A">
        <w:tc>
          <w:tcPr>
            <w:tcW w:w="2972" w:type="dxa"/>
          </w:tcPr>
          <w:p w:rsidR="006447D4" w:rsidRPr="004B6538" w:rsidRDefault="006447D4" w:rsidP="006447D4">
            <w:pPr>
              <w:autoSpaceDE w:val="0"/>
              <w:autoSpaceDN w:val="0"/>
              <w:adjustRightInd w:val="0"/>
              <w:rPr>
                <w:rFonts w:ascii="Arial Narrow" w:hAnsi="Arial Narrow" w:cs="Garamond-Bold"/>
                <w:b/>
                <w:bCs/>
                <w:sz w:val="24"/>
                <w:szCs w:val="24"/>
              </w:rPr>
            </w:pPr>
            <w:r>
              <w:rPr>
                <w:rFonts w:ascii="Arial Narrow" w:hAnsi="Arial Narrow" w:cs="Garamond-Bold"/>
                <w:b/>
                <w:bCs/>
                <w:sz w:val="24"/>
                <w:szCs w:val="24"/>
              </w:rPr>
              <w:lastRenderedPageBreak/>
              <w:t>FECHA: 25-05-2018</w:t>
            </w:r>
          </w:p>
        </w:tc>
        <w:tc>
          <w:tcPr>
            <w:tcW w:w="5856" w:type="dxa"/>
          </w:tcPr>
          <w:p w:rsidR="006447D4" w:rsidRPr="00B908AA" w:rsidRDefault="006447D4" w:rsidP="006447D4">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w:t>
            </w:r>
            <w:r>
              <w:rPr>
                <w:rFonts w:ascii="Arial Narrow" w:hAnsi="Arial Narrow" w:cs="Garamond-Bold"/>
                <w:b/>
                <w:bCs/>
                <w:sz w:val="24"/>
                <w:szCs w:val="24"/>
              </w:rPr>
              <w:t>a</w:t>
            </w:r>
            <w:r w:rsidRPr="00B908AA">
              <w:rPr>
                <w:rFonts w:ascii="Arial Narrow" w:hAnsi="Arial Narrow" w:cs="Garamond-Bold"/>
                <w:b/>
                <w:bCs/>
                <w:sz w:val="24"/>
                <w:szCs w:val="24"/>
              </w:rPr>
              <w:t xml:space="preserve">. </w:t>
            </w:r>
            <w:r>
              <w:rPr>
                <w:rFonts w:ascii="Arial Narrow" w:hAnsi="Arial Narrow" w:cs="Garamond-Bold"/>
                <w:b/>
                <w:bCs/>
                <w:sz w:val="24"/>
                <w:szCs w:val="24"/>
              </w:rPr>
              <w:t>Yolanda Villabona. Directora de Contratación</w:t>
            </w:r>
            <w:r w:rsidRPr="00B908AA">
              <w:rPr>
                <w:rFonts w:ascii="Arial Narrow" w:hAnsi="Arial Narrow" w:cs="Garamond-Bold"/>
                <w:b/>
                <w:bCs/>
                <w:sz w:val="24"/>
                <w:szCs w:val="24"/>
              </w:rPr>
              <w:t xml:space="preserve"> Secretaría Distrital de Gobierno.</w:t>
            </w:r>
          </w:p>
        </w:tc>
      </w:tr>
      <w:tr w:rsidR="006447D4" w:rsidRPr="00B908AA" w:rsidTr="00BD629A">
        <w:tc>
          <w:tcPr>
            <w:tcW w:w="2972" w:type="dxa"/>
          </w:tcPr>
          <w:p w:rsidR="006447D4" w:rsidRPr="00B908AA" w:rsidRDefault="006447D4" w:rsidP="006447D4">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TEMA: CONVENIO INTERADMINISTRATIVO</w:t>
            </w:r>
            <w:r>
              <w:rPr>
                <w:rFonts w:ascii="Arial Narrow" w:hAnsi="Arial Narrow" w:cs="Garamond-Bold"/>
                <w:b/>
                <w:bCs/>
                <w:sz w:val="24"/>
                <w:szCs w:val="24"/>
              </w:rPr>
              <w:t>/ESTRUCTURACION</w:t>
            </w:r>
          </w:p>
        </w:tc>
        <w:tc>
          <w:tcPr>
            <w:tcW w:w="5856" w:type="dxa"/>
          </w:tcPr>
          <w:p w:rsidR="006447D4" w:rsidRPr="00B908AA" w:rsidRDefault="006447D4" w:rsidP="006447D4">
            <w:pPr>
              <w:autoSpaceDE w:val="0"/>
              <w:autoSpaceDN w:val="0"/>
              <w:adjustRightInd w:val="0"/>
              <w:jc w:val="center"/>
              <w:rPr>
                <w:rFonts w:ascii="Arial Narrow" w:hAnsi="Arial Narrow" w:cs="Garamond-Bold"/>
                <w:b/>
                <w:bCs/>
                <w:sz w:val="24"/>
                <w:szCs w:val="24"/>
              </w:rPr>
            </w:pPr>
          </w:p>
          <w:p w:rsidR="006447D4" w:rsidRPr="00B908AA" w:rsidRDefault="006447D4" w:rsidP="006447D4">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6447D4" w:rsidRPr="00B908AA" w:rsidTr="00BD629A">
        <w:tc>
          <w:tcPr>
            <w:tcW w:w="2972" w:type="dxa"/>
          </w:tcPr>
          <w:p w:rsidR="006447D4" w:rsidRPr="00B908AA" w:rsidRDefault="006447D4" w:rsidP="006447D4">
            <w:pPr>
              <w:autoSpaceDE w:val="0"/>
              <w:autoSpaceDN w:val="0"/>
              <w:adjustRightInd w:val="0"/>
              <w:jc w:val="both"/>
              <w:rPr>
                <w:rFonts w:ascii="Arial Narrow" w:hAnsi="Arial Narrow" w:cs="Garamond-Bold"/>
                <w:bCs/>
                <w:sz w:val="24"/>
                <w:szCs w:val="24"/>
              </w:rPr>
            </w:pPr>
          </w:p>
          <w:p w:rsidR="006447D4" w:rsidRPr="00B908AA" w:rsidRDefault="006447D4" w:rsidP="006447D4">
            <w:pPr>
              <w:autoSpaceDE w:val="0"/>
              <w:autoSpaceDN w:val="0"/>
              <w:adjustRightInd w:val="0"/>
              <w:jc w:val="both"/>
              <w:rPr>
                <w:rFonts w:ascii="Arial Narrow" w:hAnsi="Arial Narrow" w:cs="Garamond-Bold"/>
                <w:bCs/>
                <w:sz w:val="24"/>
                <w:szCs w:val="24"/>
              </w:rPr>
            </w:pPr>
          </w:p>
          <w:p w:rsidR="006447D4" w:rsidRPr="00B908AA" w:rsidRDefault="006447D4" w:rsidP="006447D4">
            <w:pPr>
              <w:autoSpaceDE w:val="0"/>
              <w:autoSpaceDN w:val="0"/>
              <w:adjustRightInd w:val="0"/>
              <w:jc w:val="both"/>
              <w:rPr>
                <w:rFonts w:ascii="Arial Narrow" w:hAnsi="Arial Narrow" w:cs="Garamond-Bold"/>
                <w:bCs/>
                <w:sz w:val="24"/>
                <w:szCs w:val="24"/>
              </w:rPr>
            </w:pPr>
          </w:p>
          <w:p w:rsidR="006447D4" w:rsidRPr="00B908AA" w:rsidRDefault="006447D4" w:rsidP="006447D4">
            <w:pPr>
              <w:autoSpaceDE w:val="0"/>
              <w:autoSpaceDN w:val="0"/>
              <w:adjustRightInd w:val="0"/>
              <w:jc w:val="both"/>
              <w:rPr>
                <w:rFonts w:ascii="Arial Narrow" w:hAnsi="Arial Narrow" w:cs="Garamond-Bold"/>
                <w:bCs/>
                <w:sz w:val="24"/>
                <w:szCs w:val="24"/>
              </w:rPr>
            </w:pPr>
          </w:p>
          <w:p w:rsidR="006447D4" w:rsidRPr="00B908AA" w:rsidRDefault="006447D4" w:rsidP="006447D4">
            <w:pPr>
              <w:autoSpaceDE w:val="0"/>
              <w:autoSpaceDN w:val="0"/>
              <w:adjustRightInd w:val="0"/>
              <w:jc w:val="both"/>
              <w:rPr>
                <w:rFonts w:ascii="Arial Narrow" w:hAnsi="Arial Narrow" w:cs="Garamond-Bold"/>
                <w:bCs/>
                <w:sz w:val="24"/>
                <w:szCs w:val="24"/>
              </w:rPr>
            </w:pPr>
          </w:p>
          <w:p w:rsidR="006447D4" w:rsidRPr="00B908AA" w:rsidRDefault="006447D4" w:rsidP="006447D4">
            <w:pPr>
              <w:autoSpaceDE w:val="0"/>
              <w:autoSpaceDN w:val="0"/>
              <w:adjustRightInd w:val="0"/>
              <w:jc w:val="both"/>
              <w:rPr>
                <w:rFonts w:ascii="Arial Narrow" w:hAnsi="Arial Narrow" w:cs="Garamond-Bold"/>
                <w:bCs/>
                <w:sz w:val="24"/>
                <w:szCs w:val="24"/>
              </w:rPr>
            </w:pPr>
          </w:p>
          <w:p w:rsidR="006447D4" w:rsidRPr="00B908AA" w:rsidRDefault="006447D4" w:rsidP="006447D4">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 </w:t>
            </w:r>
          </w:p>
        </w:tc>
        <w:tc>
          <w:tcPr>
            <w:tcW w:w="5856" w:type="dxa"/>
          </w:tcPr>
          <w:p w:rsidR="006447D4" w:rsidRPr="00B908AA" w:rsidRDefault="006447D4" w:rsidP="006447D4">
            <w:pPr>
              <w:pStyle w:val="NormalWeb"/>
              <w:jc w:val="both"/>
              <w:rPr>
                <w:rFonts w:ascii="Arial Narrow" w:hAnsi="Arial Narrow" w:cstheme="minorBidi"/>
                <w:iCs/>
              </w:rPr>
            </w:pPr>
            <w:r w:rsidRPr="00B908AA">
              <w:rPr>
                <w:rFonts w:ascii="Arial Narrow" w:eastAsiaTheme="minorHAnsi" w:hAnsi="Arial Narrow" w:cstheme="minorBidi"/>
                <w:iCs/>
                <w:lang w:eastAsia="en-US"/>
              </w:rPr>
              <w:t xml:space="preserve">(…) Por lo anterior se recomienda que, para la estructuración del negocio jurídico que se pretende suscribir a través de la presente contratación, se tengan en cuenta (...) los siguientes aspectos; (i) Los fundamentos que permiten suscribir el negocio jurídico, el cual no es otro diferente a cumplir a través de él objetivos de carácter general, ya sean estos sociales, culturales o de colaboración estratégica, según lo ha dispuesto la Ley y la Jurisprudencia.  (ii) Los parámetros que exige el ordenamiento jurídico para la suscripción y ejecución de estos negocios estatales, tales como los requisitos de planeación, establecidos en el artículo 2.2.1.1.2.1.1 del Decreto No. 1082 de 2015, dentro de los cuales valga señalar la necesidad de tener absoluta claridad respecto al objeto y actividades que realizaran las partes, el análisis del valor del acuerdo de voluntades y su correspondencia con parámetros claros y objetivos utilizados para calcularlo, el análisis de los riesgos que pueden afectar la contratación tanto en su etapa de planeación, ejecución y liquidación, la forma de desembolso de los recursos de los aportantes, y el análisis de las garantías que podría requerir la contratación.  (iii) Adicionalmente a lo anterior, téngase en cuenta que en esta contratación la Ley ha establecido la necesidad de justificar la respectiva contratación previo a su celebración a través de un acto administrativo con especiales requisitos señalados en el artículo 2.2.1.2.1.4.1. del Decreto 1082 de 2015. (iv) Finalmente, las actividades y compromisos específicos que pretende realizar cada parte interviniente durante el desarrollo del convenio deben estar enmarcadas dentro de su misionalidad y objetivo social y encaminadas al cumplimiento de los objetivos del convenio. </w:t>
            </w:r>
          </w:p>
        </w:tc>
      </w:tr>
      <w:tr w:rsidR="006447D4" w:rsidRPr="00B908AA" w:rsidTr="00BD629A">
        <w:tc>
          <w:tcPr>
            <w:tcW w:w="2972" w:type="dxa"/>
          </w:tcPr>
          <w:p w:rsidR="006447D4" w:rsidRPr="00B908AA" w:rsidRDefault="006447D4" w:rsidP="006447D4">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lastRenderedPageBreak/>
              <w:t>Fecha: 8-11-2017</w:t>
            </w:r>
          </w:p>
          <w:p w:rsidR="006447D4" w:rsidRPr="00B908AA" w:rsidRDefault="006447D4" w:rsidP="006447D4">
            <w:pPr>
              <w:autoSpaceDE w:val="0"/>
              <w:autoSpaceDN w:val="0"/>
              <w:adjustRightInd w:val="0"/>
              <w:rPr>
                <w:rFonts w:ascii="Arial Narrow" w:hAnsi="Arial Narrow" w:cs="Garamond-Bold"/>
                <w:b/>
                <w:bCs/>
                <w:sz w:val="24"/>
                <w:szCs w:val="24"/>
              </w:rPr>
            </w:pPr>
          </w:p>
        </w:tc>
        <w:tc>
          <w:tcPr>
            <w:tcW w:w="5856" w:type="dxa"/>
          </w:tcPr>
          <w:p w:rsidR="006447D4" w:rsidRPr="00B908AA" w:rsidRDefault="006447D4" w:rsidP="006447D4">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Dra. Carmen Yolanda Villabona. Directora de Contratación Secretaría Distrital de Gobierno.</w:t>
            </w:r>
          </w:p>
        </w:tc>
      </w:tr>
      <w:tr w:rsidR="006447D4" w:rsidRPr="00B908AA" w:rsidTr="00BD629A">
        <w:tc>
          <w:tcPr>
            <w:tcW w:w="2972" w:type="dxa"/>
          </w:tcPr>
          <w:p w:rsidR="006447D4" w:rsidRPr="00B908AA" w:rsidRDefault="006447D4" w:rsidP="006447D4">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TEMAS: CONVENIO INTERADMINISTRATIVO</w:t>
            </w:r>
            <w:r>
              <w:rPr>
                <w:rFonts w:ascii="Arial Narrow" w:hAnsi="Arial Narrow" w:cs="Garamond-Bold"/>
                <w:b/>
                <w:bCs/>
                <w:sz w:val="24"/>
                <w:szCs w:val="24"/>
              </w:rPr>
              <w:t xml:space="preserve"> ICA</w:t>
            </w:r>
          </w:p>
        </w:tc>
        <w:tc>
          <w:tcPr>
            <w:tcW w:w="5856" w:type="dxa"/>
          </w:tcPr>
          <w:p w:rsidR="006447D4" w:rsidRPr="00B908AA" w:rsidRDefault="006447D4" w:rsidP="006447D4">
            <w:pPr>
              <w:autoSpaceDE w:val="0"/>
              <w:autoSpaceDN w:val="0"/>
              <w:adjustRightInd w:val="0"/>
              <w:jc w:val="center"/>
              <w:rPr>
                <w:rFonts w:ascii="Arial Narrow" w:hAnsi="Arial Narrow" w:cs="Garamond-Bold"/>
                <w:b/>
                <w:bCs/>
                <w:sz w:val="24"/>
                <w:szCs w:val="24"/>
              </w:rPr>
            </w:pPr>
          </w:p>
          <w:p w:rsidR="006447D4" w:rsidRPr="00B908AA" w:rsidRDefault="006447D4" w:rsidP="006447D4">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6447D4" w:rsidRPr="00B908AA" w:rsidTr="00BD629A">
        <w:tc>
          <w:tcPr>
            <w:tcW w:w="2972" w:type="dxa"/>
          </w:tcPr>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rPr>
                <w:rFonts w:ascii="Arial Narrow" w:hAnsi="Arial Narrow" w:cs="Garamond-Bold"/>
                <w:bCs/>
                <w:sz w:val="24"/>
                <w:szCs w:val="24"/>
              </w:rPr>
            </w:pPr>
          </w:p>
          <w:p w:rsidR="006447D4" w:rsidRPr="00B908AA" w:rsidRDefault="006447D4" w:rsidP="006447D4">
            <w:pPr>
              <w:autoSpaceDE w:val="0"/>
              <w:autoSpaceDN w:val="0"/>
              <w:adjustRightInd w:val="0"/>
              <w:jc w:val="both"/>
              <w:rPr>
                <w:rFonts w:ascii="Arial Narrow" w:hAnsi="Arial Narrow" w:cs="Garamond-Bold"/>
                <w:b/>
                <w:bCs/>
                <w:sz w:val="24"/>
                <w:szCs w:val="24"/>
              </w:rPr>
            </w:pPr>
          </w:p>
        </w:tc>
        <w:tc>
          <w:tcPr>
            <w:tcW w:w="5856" w:type="dxa"/>
          </w:tcPr>
          <w:p w:rsidR="006447D4" w:rsidRPr="00B908AA" w:rsidRDefault="006447D4" w:rsidP="006447D4">
            <w:pPr>
              <w:autoSpaceDE w:val="0"/>
              <w:autoSpaceDN w:val="0"/>
              <w:adjustRightInd w:val="0"/>
              <w:jc w:val="both"/>
              <w:rPr>
                <w:rFonts w:ascii="Arial Narrow" w:hAnsi="Arial Narrow"/>
                <w:bCs/>
                <w:color w:val="000000"/>
                <w:sz w:val="24"/>
                <w:szCs w:val="24"/>
              </w:rPr>
            </w:pPr>
            <w:r w:rsidRPr="00B908AA">
              <w:rPr>
                <w:rFonts w:ascii="Arial Narrow" w:hAnsi="Arial Narrow"/>
                <w:bCs/>
                <w:color w:val="333333"/>
                <w:sz w:val="24"/>
                <w:szCs w:val="24"/>
              </w:rPr>
              <w:t>El ICA es el responsable de las actividades de inspección, vigilancia y control sanitario.</w:t>
            </w:r>
          </w:p>
          <w:p w:rsidR="006447D4" w:rsidRPr="00B908AA" w:rsidRDefault="006447D4" w:rsidP="006447D4">
            <w:pPr>
              <w:pStyle w:val="NormalWeb"/>
              <w:shd w:val="clear" w:color="auto" w:fill="FFFFFF"/>
              <w:spacing w:before="0" w:beforeAutospacing="0" w:after="0" w:afterAutospacing="0"/>
              <w:jc w:val="both"/>
              <w:rPr>
                <w:rFonts w:ascii="Arial Narrow" w:hAnsi="Arial Narrow"/>
                <w:bCs/>
                <w:color w:val="000000"/>
              </w:rPr>
            </w:pPr>
          </w:p>
          <w:p w:rsidR="006447D4" w:rsidRPr="00B908AA" w:rsidRDefault="006447D4" w:rsidP="006447D4">
            <w:pPr>
              <w:pStyle w:val="NormalWeb"/>
              <w:shd w:val="clear" w:color="auto" w:fill="FFFFFF"/>
              <w:spacing w:before="0" w:beforeAutospacing="0" w:after="0" w:afterAutospacing="0"/>
              <w:jc w:val="both"/>
              <w:rPr>
                <w:rFonts w:ascii="Arial Narrow" w:hAnsi="Arial Narrow"/>
                <w:bCs/>
                <w:color w:val="000000"/>
              </w:rPr>
            </w:pPr>
            <w:r w:rsidRPr="00B908AA">
              <w:rPr>
                <w:rFonts w:ascii="Arial Narrow" w:hAnsi="Arial Narrow"/>
                <w:bCs/>
                <w:color w:val="333333"/>
              </w:rPr>
              <w:t>En cuanto a la facultad para ejercer funciones de apoyo al administrador del SINIGAN, en defecto del ICA, la obligación se defiere a las Organizaciones Gremiales Ganaderas y a los municipios, en última instancia; de tal manera que mientras exista el ICA</w:t>
            </w:r>
            <w:r w:rsidRPr="00B908AA">
              <w:rPr>
                <w:rStyle w:val="Refdenotaalpie"/>
                <w:rFonts w:ascii="Arial Narrow" w:hAnsi="Arial Narrow"/>
                <w:bCs/>
                <w:color w:val="333333"/>
              </w:rPr>
              <w:footnoteReference w:id="1"/>
            </w:r>
            <w:r w:rsidRPr="00B908AA">
              <w:rPr>
                <w:rFonts w:ascii="Arial Narrow" w:hAnsi="Arial Narrow"/>
                <w:bCs/>
                <w:color w:val="333333"/>
              </w:rPr>
              <w:t>, los municipios no podrían entrar a cumplir funciones que la ley defiere directamente a esa entidad.</w:t>
            </w:r>
          </w:p>
          <w:p w:rsidR="006447D4" w:rsidRPr="00B908AA" w:rsidRDefault="006447D4" w:rsidP="006447D4">
            <w:pPr>
              <w:pStyle w:val="Prrafodelista"/>
              <w:ind w:left="360"/>
              <w:rPr>
                <w:rFonts w:ascii="Arial Narrow" w:hAnsi="Arial Narrow"/>
                <w:bCs/>
                <w:color w:val="000000"/>
                <w:sz w:val="24"/>
              </w:rPr>
            </w:pPr>
          </w:p>
          <w:p w:rsidR="006447D4" w:rsidRPr="00B908AA" w:rsidRDefault="006447D4" w:rsidP="006447D4">
            <w:pPr>
              <w:pStyle w:val="NormalWeb"/>
              <w:shd w:val="clear" w:color="auto" w:fill="FFFFFF"/>
              <w:spacing w:before="0" w:beforeAutospacing="0" w:after="150" w:afterAutospacing="0"/>
              <w:jc w:val="both"/>
              <w:rPr>
                <w:rFonts w:ascii="Arial Narrow" w:hAnsi="Arial Narrow"/>
                <w:bCs/>
                <w:color w:val="333333"/>
              </w:rPr>
            </w:pPr>
            <w:r w:rsidRPr="00B908AA">
              <w:rPr>
                <w:rFonts w:ascii="Arial Narrow" w:hAnsi="Arial Narrow"/>
                <w:bCs/>
                <w:color w:val="333333"/>
              </w:rPr>
              <w:t xml:space="preserve">El Convenio Interadministrativo que se proyecta celebrar con el ICA resultaría viable en la medida en que las obligaciones que se pacten tengan relación directa con el objeto de la Alcaldía Local y el Fondo de Desarrollo Local, porque es </w:t>
            </w:r>
            <w:r w:rsidRPr="00B908AA">
              <w:rPr>
                <w:rFonts w:ascii="Arial Narrow" w:hAnsi="Arial Narrow"/>
                <w:color w:val="333333"/>
              </w:rPr>
              <w:t xml:space="preserve">condición </w:t>
            </w:r>
            <w:r w:rsidRPr="00B908AA">
              <w:rPr>
                <w:rFonts w:ascii="Arial Narrow" w:hAnsi="Arial Narrow"/>
                <w:i/>
                <w:color w:val="333333"/>
              </w:rPr>
              <w:t>sine qua non</w:t>
            </w:r>
            <w:r w:rsidRPr="00B908AA">
              <w:rPr>
                <w:rFonts w:ascii="Arial Narrow" w:hAnsi="Arial Narrow"/>
                <w:color w:val="333333"/>
              </w:rPr>
              <w:t xml:space="preserve"> de la celebración de este tipo de Convenios que sus</w:t>
            </w:r>
            <w:r w:rsidRPr="00B908AA">
              <w:rPr>
                <w:rFonts w:ascii="Arial Narrow" w:hAnsi="Arial Narrow"/>
                <w:bCs/>
                <w:color w:val="333333"/>
              </w:rPr>
              <w:t xml:space="preserve"> obligaciones tengan relación directa con el objeto de la entidad ejecutora señalado en la ley o en sus reglamentos, y en el presente caso, contrario a lo anterior, las funciones que se pretenden desarrollar en el marco del Convenio corresponden a típicas funciones administrativas que debe cumplir el ICA.</w:t>
            </w:r>
          </w:p>
          <w:p w:rsidR="006447D4" w:rsidRPr="00B908AA" w:rsidRDefault="006447D4" w:rsidP="006447D4">
            <w:pPr>
              <w:pStyle w:val="NormalWeb"/>
              <w:shd w:val="clear" w:color="auto" w:fill="FFFFFF"/>
              <w:spacing w:before="0" w:beforeAutospacing="0" w:after="150" w:afterAutospacing="0"/>
              <w:jc w:val="both"/>
              <w:rPr>
                <w:rFonts w:ascii="Arial Narrow" w:hAnsi="Arial Narrow" w:cs="Garamond-Bold"/>
                <w:bCs/>
              </w:rPr>
            </w:pPr>
            <w:r w:rsidRPr="00B908AA">
              <w:rPr>
                <w:rFonts w:ascii="Arial Narrow" w:eastAsiaTheme="minorHAnsi" w:hAnsi="Arial Narrow"/>
                <w:bCs/>
                <w:color w:val="333333"/>
                <w:lang w:eastAsia="en-US"/>
              </w:rPr>
              <w:t xml:space="preserve">La </w:t>
            </w:r>
            <w:r w:rsidRPr="00B908AA">
              <w:rPr>
                <w:rFonts w:ascii="Arial Narrow" w:hAnsi="Arial Narrow"/>
                <w:color w:val="333333"/>
              </w:rPr>
              <w:t xml:space="preserve">Secretaría </w:t>
            </w:r>
            <w:r w:rsidRPr="00B908AA">
              <w:rPr>
                <w:rFonts w:ascii="Arial Narrow" w:hAnsi="Arial Narrow"/>
                <w:bCs/>
                <w:color w:val="333333"/>
              </w:rPr>
              <w:t>Distrital de Ambiente</w:t>
            </w:r>
            <w:r w:rsidRPr="00B908AA">
              <w:rPr>
                <w:rFonts w:ascii="Arial Narrow" w:hAnsi="Arial Narrow"/>
                <w:color w:val="333333"/>
              </w:rPr>
              <w:t xml:space="preserve">, es la instancia encargada de coordinar la ejecución de acciones interinstitucionales tendientes a la implementación de los programas incorporados en la Política Publica de Ruralidad y el Plan de Desarrollo Rural en el marco de las instancias correspondientes. </w:t>
            </w:r>
          </w:p>
        </w:tc>
      </w:tr>
      <w:tr w:rsidR="006447D4" w:rsidRPr="00B908AA" w:rsidTr="00BD629A">
        <w:tc>
          <w:tcPr>
            <w:tcW w:w="2972" w:type="dxa"/>
          </w:tcPr>
          <w:p w:rsidR="006447D4" w:rsidRPr="00B908AA" w:rsidRDefault="006447D4" w:rsidP="006447D4">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Fecha: 23-05-2018</w:t>
            </w:r>
          </w:p>
          <w:p w:rsidR="006447D4" w:rsidRPr="00B908AA" w:rsidRDefault="006447D4" w:rsidP="006447D4">
            <w:pPr>
              <w:autoSpaceDE w:val="0"/>
              <w:autoSpaceDN w:val="0"/>
              <w:adjustRightInd w:val="0"/>
              <w:rPr>
                <w:rFonts w:ascii="Arial Narrow" w:hAnsi="Arial Narrow" w:cs="Garamond-Bold"/>
                <w:b/>
                <w:bCs/>
                <w:sz w:val="24"/>
                <w:szCs w:val="24"/>
              </w:rPr>
            </w:pPr>
          </w:p>
        </w:tc>
        <w:tc>
          <w:tcPr>
            <w:tcW w:w="5856" w:type="dxa"/>
          </w:tcPr>
          <w:p w:rsidR="006447D4" w:rsidRPr="00B908AA" w:rsidRDefault="006447D4" w:rsidP="006447D4">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Dra. Yolanda Villabona. Directora de Contratación Secretaría Distrital de Gobierno</w:t>
            </w:r>
          </w:p>
        </w:tc>
      </w:tr>
      <w:tr w:rsidR="001668AB" w:rsidRPr="00B908AA" w:rsidTr="00BD629A">
        <w:tc>
          <w:tcPr>
            <w:tcW w:w="2972" w:type="dxa"/>
          </w:tcPr>
          <w:p w:rsidR="001668AB" w:rsidRPr="00B908AA" w:rsidRDefault="001668AB" w:rsidP="001668AB">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TEMAS: CONVENIOS INTERADMINISTRATIVOS/PRESUPUESTO FDL</w:t>
            </w:r>
          </w:p>
        </w:tc>
        <w:tc>
          <w:tcPr>
            <w:tcW w:w="5856" w:type="dxa"/>
          </w:tcPr>
          <w:p w:rsidR="001668AB" w:rsidRPr="00B908AA" w:rsidRDefault="001668AB" w:rsidP="001668AB">
            <w:pPr>
              <w:autoSpaceDE w:val="0"/>
              <w:autoSpaceDN w:val="0"/>
              <w:adjustRightInd w:val="0"/>
              <w:jc w:val="center"/>
              <w:rPr>
                <w:rFonts w:ascii="Arial Narrow" w:hAnsi="Arial Narrow" w:cs="Garamond-Bold"/>
                <w:b/>
                <w:bCs/>
                <w:sz w:val="24"/>
                <w:szCs w:val="24"/>
              </w:rPr>
            </w:pPr>
          </w:p>
          <w:p w:rsidR="001668AB" w:rsidRPr="00B908AA" w:rsidRDefault="001668AB" w:rsidP="001668AB">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1668AB" w:rsidRPr="00B908AA" w:rsidTr="00BD629A">
        <w:tc>
          <w:tcPr>
            <w:tcW w:w="2972" w:type="dxa"/>
          </w:tcPr>
          <w:p w:rsidR="001668AB" w:rsidRPr="00B908AA" w:rsidRDefault="001668AB" w:rsidP="001668AB">
            <w:pPr>
              <w:autoSpaceDE w:val="0"/>
              <w:autoSpaceDN w:val="0"/>
              <w:adjustRightInd w:val="0"/>
              <w:jc w:val="both"/>
              <w:rPr>
                <w:rFonts w:ascii="Arial Narrow" w:hAnsi="Arial Narrow" w:cs="Garamond-Bold"/>
                <w:b/>
                <w:bCs/>
                <w:sz w:val="24"/>
                <w:szCs w:val="24"/>
              </w:rPr>
            </w:pPr>
          </w:p>
          <w:p w:rsidR="001668AB" w:rsidRPr="00B908AA" w:rsidRDefault="001668AB" w:rsidP="001668AB">
            <w:pPr>
              <w:autoSpaceDE w:val="0"/>
              <w:autoSpaceDN w:val="0"/>
              <w:adjustRightInd w:val="0"/>
              <w:jc w:val="both"/>
              <w:rPr>
                <w:rFonts w:ascii="Arial Narrow" w:hAnsi="Arial Narrow" w:cs="Garamond-Bold"/>
                <w:b/>
                <w:bCs/>
                <w:sz w:val="24"/>
                <w:szCs w:val="24"/>
              </w:rPr>
            </w:pPr>
          </w:p>
          <w:p w:rsidR="001668AB" w:rsidRPr="00B908AA" w:rsidRDefault="001668AB" w:rsidP="001668AB">
            <w:pPr>
              <w:autoSpaceDE w:val="0"/>
              <w:autoSpaceDN w:val="0"/>
              <w:adjustRightInd w:val="0"/>
              <w:jc w:val="both"/>
              <w:rPr>
                <w:rFonts w:ascii="Arial Narrow" w:hAnsi="Arial Narrow" w:cs="Garamond-Bold"/>
                <w:b/>
                <w:bCs/>
                <w:sz w:val="24"/>
                <w:szCs w:val="24"/>
              </w:rPr>
            </w:pPr>
          </w:p>
          <w:p w:rsidR="001668AB" w:rsidRPr="00B908AA" w:rsidRDefault="001668AB" w:rsidP="001668AB">
            <w:pPr>
              <w:autoSpaceDE w:val="0"/>
              <w:autoSpaceDN w:val="0"/>
              <w:adjustRightInd w:val="0"/>
              <w:jc w:val="both"/>
              <w:rPr>
                <w:rFonts w:ascii="Arial Narrow" w:hAnsi="Arial Narrow" w:cs="Garamond-Bold"/>
                <w:b/>
                <w:bCs/>
                <w:sz w:val="24"/>
                <w:szCs w:val="24"/>
              </w:rPr>
            </w:pPr>
          </w:p>
          <w:p w:rsidR="001668AB" w:rsidRPr="00B908AA" w:rsidRDefault="001668AB" w:rsidP="001668AB">
            <w:pPr>
              <w:autoSpaceDE w:val="0"/>
              <w:autoSpaceDN w:val="0"/>
              <w:adjustRightInd w:val="0"/>
              <w:jc w:val="both"/>
              <w:rPr>
                <w:rFonts w:ascii="Arial Narrow" w:hAnsi="Arial Narrow" w:cs="Garamond-Bold"/>
                <w:b/>
                <w:bCs/>
                <w:sz w:val="24"/>
                <w:szCs w:val="24"/>
              </w:rPr>
            </w:pPr>
          </w:p>
          <w:p w:rsidR="001668AB" w:rsidRPr="00B908AA" w:rsidRDefault="001668AB" w:rsidP="001668AB">
            <w:pPr>
              <w:autoSpaceDE w:val="0"/>
              <w:autoSpaceDN w:val="0"/>
              <w:adjustRightInd w:val="0"/>
              <w:jc w:val="both"/>
              <w:rPr>
                <w:rFonts w:ascii="Arial Narrow" w:hAnsi="Arial Narrow" w:cs="Garamond-Bold"/>
                <w:b/>
                <w:bCs/>
                <w:sz w:val="24"/>
                <w:szCs w:val="24"/>
              </w:rPr>
            </w:pPr>
          </w:p>
          <w:p w:rsidR="001668AB" w:rsidRPr="00B908AA" w:rsidRDefault="001668AB" w:rsidP="001668AB">
            <w:pPr>
              <w:autoSpaceDE w:val="0"/>
              <w:autoSpaceDN w:val="0"/>
              <w:adjustRightInd w:val="0"/>
              <w:jc w:val="both"/>
              <w:rPr>
                <w:rFonts w:ascii="Arial Narrow" w:hAnsi="Arial Narrow" w:cs="Garamond-Bold"/>
                <w:b/>
                <w:bCs/>
                <w:sz w:val="24"/>
                <w:szCs w:val="24"/>
              </w:rPr>
            </w:pPr>
          </w:p>
          <w:p w:rsidR="001668AB" w:rsidRPr="00B908AA" w:rsidRDefault="001668AB" w:rsidP="001668AB">
            <w:pPr>
              <w:autoSpaceDE w:val="0"/>
              <w:autoSpaceDN w:val="0"/>
              <w:adjustRightInd w:val="0"/>
              <w:jc w:val="both"/>
              <w:rPr>
                <w:rFonts w:ascii="Arial Narrow" w:hAnsi="Arial Narrow" w:cs="Garamond-Bold"/>
                <w:b/>
                <w:bCs/>
                <w:sz w:val="24"/>
                <w:szCs w:val="24"/>
              </w:rPr>
            </w:pPr>
          </w:p>
          <w:p w:rsidR="001668AB" w:rsidRPr="00B908AA" w:rsidRDefault="001668AB" w:rsidP="001668AB">
            <w:pPr>
              <w:autoSpaceDE w:val="0"/>
              <w:autoSpaceDN w:val="0"/>
              <w:adjustRightInd w:val="0"/>
              <w:jc w:val="both"/>
              <w:rPr>
                <w:rFonts w:ascii="Arial Narrow" w:hAnsi="Arial Narrow" w:cs="Garamond-Bold"/>
                <w:b/>
                <w:bCs/>
                <w:sz w:val="24"/>
                <w:szCs w:val="24"/>
              </w:rPr>
            </w:pPr>
          </w:p>
          <w:p w:rsidR="001668AB" w:rsidRPr="00B908AA" w:rsidRDefault="001668AB" w:rsidP="001668AB">
            <w:pPr>
              <w:autoSpaceDE w:val="0"/>
              <w:autoSpaceDN w:val="0"/>
              <w:adjustRightInd w:val="0"/>
              <w:jc w:val="both"/>
              <w:rPr>
                <w:rFonts w:ascii="Arial Narrow" w:hAnsi="Arial Narrow" w:cs="Garamond-Bold"/>
                <w:b/>
                <w:bCs/>
                <w:sz w:val="24"/>
                <w:szCs w:val="24"/>
              </w:rPr>
            </w:pPr>
          </w:p>
          <w:p w:rsidR="001668AB" w:rsidRPr="00B908AA" w:rsidRDefault="001668AB" w:rsidP="001668AB">
            <w:pPr>
              <w:autoSpaceDE w:val="0"/>
              <w:autoSpaceDN w:val="0"/>
              <w:adjustRightInd w:val="0"/>
              <w:jc w:val="both"/>
              <w:rPr>
                <w:rFonts w:ascii="Arial Narrow" w:hAnsi="Arial Narrow" w:cs="Garamond-Bold"/>
                <w:b/>
                <w:bCs/>
                <w:sz w:val="24"/>
                <w:szCs w:val="24"/>
              </w:rPr>
            </w:pPr>
          </w:p>
          <w:p w:rsidR="001668AB" w:rsidRPr="00B908AA" w:rsidRDefault="001668AB" w:rsidP="001668AB">
            <w:pPr>
              <w:autoSpaceDE w:val="0"/>
              <w:autoSpaceDN w:val="0"/>
              <w:adjustRightInd w:val="0"/>
              <w:jc w:val="both"/>
              <w:rPr>
                <w:rFonts w:ascii="Arial Narrow" w:hAnsi="Arial Narrow" w:cs="Garamond-Bold"/>
                <w:b/>
                <w:bCs/>
                <w:sz w:val="24"/>
                <w:szCs w:val="24"/>
              </w:rPr>
            </w:pPr>
          </w:p>
          <w:p w:rsidR="001668AB" w:rsidRPr="00B908AA" w:rsidRDefault="001668AB" w:rsidP="001668AB">
            <w:pPr>
              <w:autoSpaceDE w:val="0"/>
              <w:autoSpaceDN w:val="0"/>
              <w:adjustRightInd w:val="0"/>
              <w:jc w:val="both"/>
              <w:rPr>
                <w:rFonts w:ascii="Arial Narrow" w:hAnsi="Arial Narrow" w:cs="Garamond-Bold"/>
                <w:b/>
                <w:bCs/>
                <w:sz w:val="24"/>
                <w:szCs w:val="24"/>
              </w:rPr>
            </w:pPr>
          </w:p>
          <w:p w:rsidR="001668AB" w:rsidRPr="00B908AA" w:rsidRDefault="001668AB" w:rsidP="001668AB">
            <w:pPr>
              <w:autoSpaceDE w:val="0"/>
              <w:autoSpaceDN w:val="0"/>
              <w:adjustRightInd w:val="0"/>
              <w:jc w:val="both"/>
              <w:rPr>
                <w:rFonts w:ascii="Arial Narrow" w:hAnsi="Arial Narrow" w:cs="Garamond-Bold"/>
                <w:b/>
                <w:bCs/>
                <w:sz w:val="24"/>
                <w:szCs w:val="24"/>
              </w:rPr>
            </w:pPr>
          </w:p>
        </w:tc>
        <w:tc>
          <w:tcPr>
            <w:tcW w:w="5856" w:type="dxa"/>
          </w:tcPr>
          <w:p w:rsidR="001668AB" w:rsidRPr="00B908AA" w:rsidRDefault="001668AB" w:rsidP="001668AB">
            <w:pPr>
              <w:spacing w:after="160" w:line="259" w:lineRule="auto"/>
              <w:jc w:val="both"/>
              <w:rPr>
                <w:rFonts w:ascii="Arial Narrow" w:hAnsi="Arial Narrow" w:cs="Garamond-Bold"/>
                <w:bCs/>
                <w:sz w:val="24"/>
                <w:szCs w:val="24"/>
              </w:rPr>
            </w:pPr>
            <w:r w:rsidRPr="00B908AA">
              <w:rPr>
                <w:rFonts w:ascii="Arial Narrow" w:hAnsi="Arial Narrow"/>
                <w:sz w:val="24"/>
                <w:szCs w:val="24"/>
              </w:rPr>
              <w:lastRenderedPageBreak/>
              <w:t>De manera atenta, me permito enviar el concepto jurídico solicitado, en relación con la siguiente inquietud: ¿</w:t>
            </w:r>
            <w:r w:rsidRPr="00B908AA">
              <w:rPr>
                <w:rFonts w:ascii="Arial Narrow" w:hAnsi="Arial Narrow"/>
                <w:i/>
                <w:sz w:val="24"/>
                <w:szCs w:val="24"/>
              </w:rPr>
              <w:t xml:space="preserve">Pueden los Fondos de Desarrollo Local suscribir Convenios Interadministrativos con Entidades del Nivel Central Distrital, para que estas adelanten procesos de selección para la adquisición de bienes y servicios para los Fondos de Desarrollo Local, con </w:t>
            </w:r>
            <w:r w:rsidRPr="00B908AA">
              <w:rPr>
                <w:rFonts w:ascii="Arial Narrow" w:hAnsi="Arial Narrow"/>
                <w:i/>
                <w:sz w:val="24"/>
                <w:szCs w:val="24"/>
              </w:rPr>
              <w:lastRenderedPageBreak/>
              <w:t>recursos de inversión de los Fondos, sin incorporar dichos recursos al presupuesto de la Entidad del Nivel Central Distrital, sino sólo con la entrega del Certificado de Disponibilidad Presupuestal expedido por la Alcaldía Local,  para respaldar el presupuesto del proceso</w:t>
            </w:r>
            <w:r w:rsidRPr="00B908AA">
              <w:rPr>
                <w:rFonts w:ascii="Arial Narrow" w:hAnsi="Arial Narrow"/>
                <w:sz w:val="24"/>
                <w:szCs w:val="24"/>
              </w:rPr>
              <w:t xml:space="preserve">? (…) </w:t>
            </w:r>
            <w:r w:rsidRPr="00B908AA">
              <w:rPr>
                <w:rFonts w:ascii="Arial Narrow" w:hAnsi="Arial Narrow"/>
                <w:bCs/>
                <w:sz w:val="24"/>
                <w:szCs w:val="24"/>
              </w:rPr>
              <w:t>El marco jurídico de los Convenios Interadministrativos se encuentra en el artículo 113 de la Constitución Política de Colombia</w:t>
            </w:r>
            <w:r w:rsidRPr="00B908AA">
              <w:rPr>
                <w:rStyle w:val="Refdenotaalpie"/>
                <w:rFonts w:ascii="Arial Narrow" w:hAnsi="Arial Narrow"/>
                <w:bCs/>
                <w:sz w:val="24"/>
                <w:szCs w:val="24"/>
              </w:rPr>
              <w:footnoteReference w:id="2"/>
            </w:r>
            <w:r w:rsidRPr="00B908AA">
              <w:rPr>
                <w:rFonts w:ascii="Arial Narrow" w:hAnsi="Arial Narrow"/>
                <w:bCs/>
                <w:sz w:val="24"/>
                <w:szCs w:val="24"/>
              </w:rPr>
              <w:t>, en virtud de la colaboración armónica entre los diferentes órganos del Estado para la realización de sus fines. En este sentido, las entidades estatales deben articular sus funciones, conforme lo dispone la Ley 489 de 1998 “</w:t>
            </w:r>
            <w:r w:rsidRPr="00B908AA">
              <w:rPr>
                <w:rFonts w:ascii="Arial Narrow" w:hAnsi="Arial Narrow"/>
                <w:bCs/>
                <w:i/>
                <w:sz w:val="24"/>
                <w:szCs w:val="24"/>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r w:rsidRPr="00B908AA">
              <w:rPr>
                <w:rFonts w:ascii="Arial Narrow" w:hAnsi="Arial Narrow"/>
                <w:bCs/>
                <w:sz w:val="24"/>
                <w:szCs w:val="24"/>
              </w:rPr>
              <w:t xml:space="preserve">”, materializando el postulado constitucional y estableciendo para las entidades del Estado, el deber de coordinar y colaborar en sus actuaciones con las entidades y organismos a fin de lograr los cometidos estatales. Por su parte, el artículo 95 Ibidem estableció para las entidades públicas de cualquier orden, la posibilidad de celebrar convenios interadministrativos, con el fin de desarrollar funciones propias de cada una de las entidades que los celebran, definidos como todos aquellos acuerdos de voluntades celebrados por la entidad con personas de derecho público, que tienen por objeto el cumplimiento de las obligaciones constitucionales, legales y reglamentarias de la entidad, para el logro de objetivos comunes (…) </w:t>
            </w:r>
            <w:r w:rsidRPr="00B908AA">
              <w:rPr>
                <w:rFonts w:ascii="Arial Narrow" w:hAnsi="Arial Narrow"/>
                <w:sz w:val="24"/>
                <w:szCs w:val="24"/>
              </w:rPr>
              <w:t xml:space="preserve">cabe anotar que al celebrar convenios interadministrativos, que impliquen una erogación presupuestal, constituye requisito </w:t>
            </w:r>
            <w:r w:rsidRPr="00B908AA">
              <w:rPr>
                <w:rFonts w:ascii="Arial Narrow" w:hAnsi="Arial Narrow"/>
                <w:i/>
                <w:sz w:val="24"/>
                <w:szCs w:val="24"/>
              </w:rPr>
              <w:t>sine qua non</w:t>
            </w:r>
            <w:r w:rsidRPr="00B908AA">
              <w:rPr>
                <w:rFonts w:ascii="Arial Narrow" w:hAnsi="Arial Narrow"/>
                <w:sz w:val="24"/>
                <w:szCs w:val="24"/>
              </w:rPr>
              <w:t xml:space="preserve"> la expedición del certificado de disponibilidad presupuestal, como acto que afecta transitoriamente el presupuesto y un registro presupuestal posterior a la celebración del Convenio, que determine de manera definitiva la aplicación de una porción del presupuesto a la ejecución del proyecto determinado, de conformidad con lo dispuesto en los artículos 71 del Decreto 111 de 1996 y 19 y 20 del Decreto 568 de 1996, reglamentario de la norma orgánica. En relación con los compromisos presupuestales, el Artículo 71 del Decreto 111 de 1996 dispone: </w:t>
            </w:r>
            <w:r w:rsidRPr="00B908AA">
              <w:rPr>
                <w:rFonts w:ascii="Arial Narrow" w:hAnsi="Arial Narrow"/>
                <w:b/>
                <w:sz w:val="24"/>
                <w:szCs w:val="24"/>
              </w:rPr>
              <w:t>“</w:t>
            </w:r>
            <w:r w:rsidRPr="00B908AA">
              <w:rPr>
                <w:rFonts w:ascii="Arial Narrow" w:hAnsi="Arial Narrow"/>
                <w:b/>
                <w:i/>
                <w:sz w:val="24"/>
                <w:szCs w:val="24"/>
              </w:rPr>
              <w:t>ARTÍCULO </w:t>
            </w:r>
            <w:bookmarkStart w:id="1" w:name="BM71"/>
            <w:r w:rsidRPr="00B908AA">
              <w:rPr>
                <w:rFonts w:ascii="Arial Narrow" w:hAnsi="Arial Narrow"/>
                <w:b/>
                <w:i/>
                <w:sz w:val="24"/>
                <w:szCs w:val="24"/>
              </w:rPr>
              <w:t> </w:t>
            </w:r>
            <w:bookmarkEnd w:id="1"/>
            <w:r w:rsidRPr="00B908AA">
              <w:rPr>
                <w:rFonts w:ascii="Arial Narrow" w:hAnsi="Arial Narrow"/>
                <w:b/>
                <w:i/>
                <w:sz w:val="24"/>
                <w:szCs w:val="24"/>
              </w:rPr>
              <w:t>71.</w:t>
            </w:r>
            <w:r w:rsidRPr="00B908AA">
              <w:rPr>
                <w:rFonts w:ascii="Arial Narrow" w:hAnsi="Arial Narrow"/>
                <w:i/>
                <w:sz w:val="24"/>
                <w:szCs w:val="24"/>
              </w:rPr>
              <w:t xml:space="preserve"> Todos los actos </w:t>
            </w:r>
            <w:r w:rsidRPr="00B908AA">
              <w:rPr>
                <w:rFonts w:ascii="Arial Narrow" w:hAnsi="Arial Narrow"/>
                <w:i/>
                <w:sz w:val="24"/>
                <w:szCs w:val="24"/>
              </w:rPr>
              <w:lastRenderedPageBreak/>
              <w:t>administrativos que afecten las apropiaciones presupuestales deberán contar con certificados de disponibilidad previos que garanticen la existencia de apropiación suficiente para atender estos gastos. Igualmente, estos compromisos deberán contar con registro presupuestal para que los recursos con él financiados no sean desviados a ningún otro fin. En este registro se deberá indicar claramente el valor y el plazo de las prestaciones a las que haya lugar. Esta operación es un requisito de perfeccionamiento de estos actos administrativos. En consecuencia, ninguna autoridad podrá contraer obligaciones sobre apropiaciones inexistentes, o en exceso del saldo disponible, o sin la autorización previa del Confis o por quien éste delegue, para comprometer vigencias futuras y la adquisición de compromisos con cargo a los recursos del crédito autorizados. Para las modificaciones a las plantas de personal de los órganos que conforman el presupuesto general de la Nación, que impliquen incremento en los costos actuales, será requisito esencial y previo la obtención de un certificado de viabilidad presupuestal, expedido por la Dirección General del Presupuesto Nacional en que se garantice la posibilidad de atender estas modificaciones. Cualquier compromiso que se adquiera con violación de estos preceptos creará responsabilidad personal y pecuniaria a cargo de quien asuma estas obligaciones</w:t>
            </w:r>
            <w:r w:rsidRPr="00B908AA">
              <w:rPr>
                <w:rFonts w:ascii="Arial Narrow" w:hAnsi="Arial Narrow"/>
                <w:sz w:val="24"/>
                <w:szCs w:val="24"/>
              </w:rPr>
              <w:t xml:space="preserve"> (L. 38/89, art. </w:t>
            </w:r>
            <w:hyperlink r:id="rId10" w:anchor="86" w:history="1">
              <w:r w:rsidRPr="00B908AA">
                <w:rPr>
                  <w:rFonts w:ascii="Arial Narrow" w:hAnsi="Arial Narrow"/>
                  <w:sz w:val="24"/>
                  <w:szCs w:val="24"/>
                </w:rPr>
                <w:t>86</w:t>
              </w:r>
            </w:hyperlink>
            <w:r w:rsidRPr="00B908AA">
              <w:rPr>
                <w:rFonts w:ascii="Arial Narrow" w:hAnsi="Arial Narrow"/>
                <w:sz w:val="24"/>
                <w:szCs w:val="24"/>
              </w:rPr>
              <w:t>; L. 179/94, art. </w:t>
            </w:r>
            <w:hyperlink r:id="rId11" w:anchor="49" w:history="1">
              <w:r w:rsidRPr="00B908AA">
                <w:rPr>
                  <w:rFonts w:ascii="Arial Narrow" w:hAnsi="Arial Narrow"/>
                  <w:sz w:val="24"/>
                  <w:szCs w:val="24"/>
                </w:rPr>
                <w:t>49</w:t>
              </w:r>
            </w:hyperlink>
            <w:r w:rsidRPr="00B908AA">
              <w:rPr>
                <w:rFonts w:ascii="Arial Narrow" w:hAnsi="Arial Narrow"/>
                <w:sz w:val="24"/>
                <w:szCs w:val="24"/>
              </w:rPr>
              <w:t>)”. Por su parte, el Decreto 568 de 1996, “</w:t>
            </w:r>
            <w:r w:rsidRPr="00B908AA">
              <w:rPr>
                <w:rFonts w:ascii="Arial Narrow" w:hAnsi="Arial Narrow"/>
                <w:i/>
                <w:sz w:val="24"/>
                <w:szCs w:val="24"/>
              </w:rPr>
              <w:t>Por el cual se reglamentan las Leyes 38 de 1989, 179 de 1994 y 225 de 1995 Orgánicas del Presupuesto General de la Nación</w:t>
            </w:r>
            <w:r w:rsidRPr="00B908AA">
              <w:rPr>
                <w:rFonts w:ascii="Arial Narrow" w:hAnsi="Arial Narrow"/>
                <w:sz w:val="24"/>
                <w:szCs w:val="24"/>
              </w:rPr>
              <w:t>”, en el capítulo VII hace referencia a la ejecución del presupuesto, señala lo siguiente: “</w:t>
            </w:r>
            <w:r w:rsidRPr="00B908AA">
              <w:rPr>
                <w:rFonts w:ascii="Arial Narrow" w:hAnsi="Arial Narrow"/>
                <w:b/>
                <w:i/>
                <w:sz w:val="24"/>
                <w:szCs w:val="24"/>
              </w:rPr>
              <w:t>DE LA EJECUCION DEL PRESUPUESTO.</w:t>
            </w:r>
            <w:r w:rsidRPr="00B908AA">
              <w:rPr>
                <w:rFonts w:ascii="Arial Narrow" w:hAnsi="Arial Narrow"/>
                <w:i/>
                <w:sz w:val="24"/>
                <w:szCs w:val="24"/>
              </w:rPr>
              <w:t xml:space="preserve"> </w:t>
            </w:r>
            <w:r w:rsidRPr="00B908AA">
              <w:rPr>
                <w:rFonts w:ascii="Arial Narrow" w:hAnsi="Arial Narrow"/>
                <w:b/>
                <w:i/>
                <w:sz w:val="24"/>
                <w:szCs w:val="24"/>
              </w:rPr>
              <w:t>Art. 19.-</w:t>
            </w:r>
            <w:r w:rsidRPr="00B908AA">
              <w:rPr>
                <w:rFonts w:ascii="Arial Narrow" w:hAnsi="Arial Narrow"/>
                <w:i/>
                <w:sz w:val="24"/>
                <w:szCs w:val="24"/>
              </w:rPr>
              <w:t xml:space="preserve"> </w:t>
            </w:r>
            <w:r w:rsidRPr="00B908AA">
              <w:rPr>
                <w:rFonts w:ascii="Arial Narrow" w:hAnsi="Arial Narrow"/>
                <w:b/>
                <w:i/>
                <w:sz w:val="24"/>
                <w:szCs w:val="24"/>
              </w:rPr>
              <w:t>El certificado de disponibilidad</w:t>
            </w:r>
            <w:r w:rsidRPr="00B908AA">
              <w:rPr>
                <w:rFonts w:ascii="Arial Narrow" w:hAnsi="Arial Narrow"/>
                <w:i/>
                <w:sz w:val="24"/>
                <w:szCs w:val="24"/>
              </w:rPr>
              <w:t xml:space="preserve"> es el documento expedido por el jefe de presupuesto o quien haga sus veces con el cual se garantiza la existencia de apropiación presupuestal disponible y libre de afectación para la asunción de compromisos. Este documento afecta preliminarmente el presupuesto mientras se perfecciona el compromiso y se efectúa el correspondiente registro presupuestal. En consecuencia, los órganos deberán llevar un registro de éstos que permita determinar los saldos de apropiación disponible para expedir nuevas disponibilidades. </w:t>
            </w:r>
            <w:r w:rsidRPr="00B908AA">
              <w:rPr>
                <w:rFonts w:ascii="Arial Narrow" w:hAnsi="Arial Narrow"/>
                <w:b/>
                <w:i/>
                <w:sz w:val="24"/>
                <w:szCs w:val="24"/>
              </w:rPr>
              <w:t xml:space="preserve">Art. 20.- El registro presupuestal </w:t>
            </w:r>
            <w:r w:rsidRPr="00B908AA">
              <w:rPr>
                <w:rFonts w:ascii="Arial Narrow" w:hAnsi="Arial Narrow"/>
                <w:i/>
                <w:sz w:val="24"/>
                <w:szCs w:val="24"/>
              </w:rPr>
              <w:t>es la operación mediante la cual se perfecciona el compromiso y se afecta en forma definitiva la apropiación, garantizando que ésta no será desviada a ningún otro fin. En esta operación se debe indicar claramente el valor y el plazo de las prestaciones a las que haya lugar</w:t>
            </w:r>
            <w:r w:rsidRPr="00B908AA">
              <w:rPr>
                <w:rFonts w:ascii="Arial Narrow" w:hAnsi="Arial Narrow"/>
                <w:sz w:val="24"/>
                <w:szCs w:val="24"/>
              </w:rPr>
              <w:t xml:space="preserve"> (Negrilla fuera de texto). </w:t>
            </w:r>
            <w:r w:rsidRPr="00B908AA">
              <w:rPr>
                <w:rFonts w:ascii="Arial Narrow" w:hAnsi="Arial Narrow" w:cs="Times New Roman"/>
                <w:color w:val="00000A"/>
                <w:sz w:val="24"/>
                <w:szCs w:val="24"/>
                <w:lang w:eastAsia="zh-CN"/>
              </w:rPr>
              <w:t xml:space="preserve">Con respecto a la normatividad distrital, el Decreto 714 </w:t>
            </w:r>
            <w:r w:rsidRPr="00B908AA">
              <w:rPr>
                <w:rFonts w:ascii="Arial Narrow" w:hAnsi="Arial Narrow" w:cs="Times New Roman"/>
                <w:color w:val="00000A"/>
                <w:sz w:val="24"/>
                <w:szCs w:val="24"/>
                <w:lang w:eastAsia="zh-CN"/>
              </w:rPr>
              <w:lastRenderedPageBreak/>
              <w:t>de fecha 15 de noviembre de 1996 expedido por el Alcalde Mayor de Santa Fe de Bogotá, D. C., “</w:t>
            </w:r>
            <w:r w:rsidRPr="00B908AA">
              <w:rPr>
                <w:rFonts w:ascii="Arial Narrow" w:hAnsi="Arial Narrow" w:cs="Times New Roman"/>
                <w:i/>
                <w:color w:val="00000A"/>
                <w:sz w:val="24"/>
                <w:szCs w:val="24"/>
                <w:lang w:eastAsia="zh-CN"/>
              </w:rPr>
              <w:t>Por el cual se compilan el Acuerdo 24 de 1995 y Acuerdo 20 de 1996 que conforman el Estatuto Orgánico del Presupuesto Distrital</w:t>
            </w:r>
            <w:r w:rsidRPr="00B908AA">
              <w:rPr>
                <w:rFonts w:ascii="Arial Narrow" w:hAnsi="Arial Narrow" w:cs="Times New Roman"/>
                <w:color w:val="00000A"/>
                <w:sz w:val="24"/>
                <w:szCs w:val="24"/>
                <w:lang w:eastAsia="zh-CN"/>
              </w:rPr>
              <w:t>”, en el artículo 52 establece:</w:t>
            </w:r>
            <w:r w:rsidRPr="00B908AA">
              <w:rPr>
                <w:rFonts w:ascii="Arial Narrow" w:hAnsi="Arial Narrow"/>
                <w:color w:val="00000A"/>
                <w:sz w:val="24"/>
                <w:szCs w:val="24"/>
              </w:rPr>
              <w:t xml:space="preserve"> </w:t>
            </w:r>
            <w:r w:rsidRPr="00B908AA">
              <w:rPr>
                <w:rFonts w:ascii="Arial Narrow" w:hAnsi="Arial Narrow" w:cs="Times New Roman"/>
                <w:i/>
                <w:color w:val="00000A"/>
                <w:sz w:val="24"/>
                <w:szCs w:val="24"/>
                <w:lang w:eastAsia="zh-CN"/>
              </w:rPr>
              <w:t>“</w:t>
            </w:r>
            <w:r w:rsidRPr="00B908AA">
              <w:rPr>
                <w:rFonts w:ascii="Arial Narrow" w:hAnsi="Arial Narrow" w:cs="Times New Roman"/>
                <w:i/>
                <w:sz w:val="24"/>
                <w:szCs w:val="24"/>
              </w:rPr>
              <w:t>Artículo 52º.- De las Disponibilidades Presupuestales. Todos los actos administrativos que afecten las apropiaciones presupuestales deberán contar con certificados de disponibilidad previos que garanticen la existencia de apropiación suficiente para atender estos gastos. Igualmente, estos compromisos deberán contar con registro presupuestal para que los recursos con él financiados no sean desviados a ningún otro fin. En este registro se deberá indicar claramente el valor y el plazo de las prestaciones a las que haya lugar. Esta operación es un requisito de perfeccionamiento a estos actos administrativos.</w:t>
            </w:r>
            <w:r w:rsidRPr="00B908AA">
              <w:rPr>
                <w:rFonts w:ascii="Arial Narrow" w:hAnsi="Arial Narrow"/>
                <w:i/>
                <w:sz w:val="24"/>
                <w:szCs w:val="24"/>
              </w:rPr>
              <w:t xml:space="preserve"> </w:t>
            </w:r>
            <w:r w:rsidRPr="00B908AA">
              <w:rPr>
                <w:rFonts w:ascii="Arial Narrow" w:hAnsi="Arial Narrow"/>
                <w:sz w:val="24"/>
                <w:szCs w:val="24"/>
              </w:rPr>
              <w:t xml:space="preserve">Los fundamentos jurídicos señalados, sin lugar a duda, exigen tanto el certificado de disponibilidad presupuestal como el registro del compromiso por parte de la entidad aportante. Sin embargo, los Convenios Interadministrativos proceden luego de una debida planeación de la contratación y unos estudios previos, y si para el caso que se plantea,  luego de surtir esta etapa inicial, se identifica la necesidad de celebrar el Convenio Interadministrativo, en aras de lograr economías de escala, o mayor eficiencia en la gestión, la entidad ejecutora se podría comprometer a adelantar los procesos de selección respectivos, con base en el certificado de disponibilidad presupuestal expedido, y una vez materializado el proceso de selección con la adjudicación, tales actos administrativos se registrarían presupuestalmente, de tal manera que los recursos de los FDL queden comprometidos con el contrato respectivo, sin que deban ingresar al presupuesto de la entidad ejecutora. En un procedimiento como el indicado, se deberán precisar no solo las obligaciones de las partes, en cuanto al control y supervisión de la ejecución del contrato, sino también en cuanto a temas operativos, tales como el pago a los contratistas que resulten beneficiados con las adjudicaciones respectivas. También se deberán considerar los tiempos para la ejecución de los recursos, para garantizar que, llegado el momento de realizar el compromiso presupuestal, se cuente con los recursos que fueron dispuestos para los mismos.  Ahora bien, de no optarse por la utilización del procedimiento indicado, se podrá acudir al procedimiento para celebración de Convenios Interadministrativos que afecten los presupuestos de cada entidad, aplicando el procedimiento para los ajustes </w:t>
            </w:r>
            <w:r w:rsidRPr="00B908AA">
              <w:rPr>
                <w:rFonts w:ascii="Arial Narrow" w:hAnsi="Arial Narrow"/>
                <w:sz w:val="24"/>
                <w:szCs w:val="24"/>
              </w:rPr>
              <w:lastRenderedPageBreak/>
              <w:t xml:space="preserve">presupuestales, establecido por la Secretaría Distrital de Hacienda. </w:t>
            </w:r>
            <w:r w:rsidRPr="00B908AA">
              <w:rPr>
                <w:rFonts w:ascii="Arial Narrow" w:hAnsi="Arial Narrow"/>
                <w:b/>
                <w:sz w:val="24"/>
                <w:szCs w:val="24"/>
              </w:rPr>
              <w:t xml:space="preserve">CONCLUSIONES. </w:t>
            </w:r>
            <w:r w:rsidRPr="00B908AA">
              <w:rPr>
                <w:rFonts w:ascii="Arial Narrow" w:hAnsi="Arial Narrow"/>
                <w:sz w:val="24"/>
                <w:szCs w:val="24"/>
              </w:rPr>
              <w:t>Bajo los anteriores lineamientos, podemos concluir lo siguiente: Mediante el artículo 8º. del Decreto 101 de 2010, el Alcalde Mayor de Bogotá, D. C. delegó en los Alcaldes o Alcaldesas Locales la facultad para contratar, ordenar los gastos y pagos con cargo al presupuesto de los Fondos de Desarrollo Local, de acuerdo con la estructura establecida en el Plan de Desarrollo Local que esté vigente.  La facultad para contratar, ordenar los gastos y pagos con cargo al presupuesto de los Fondos de Desarrollo Local, por tratarse de una atribución propia del Alcalde Mayor de Bogotá, D. C., expresamente delegada en los Alcaldes Locales, no puede a su vez ser delegada por éstos, para que sea desarrollada por otras entidades, de conformidad con lo dispuesto por el Artículo 11 de la Ley 489 de 1998, que impide transferir mediante delegación las funciones, atribuciones y potestades recibidas en virtud de delegación.  La celebración del Convenio Interadministrativo exige que las obligaciones derivadas del Convenio tengan relación directa con el objeto de la entidad ejecutora señalada en la ley o en sus reglamentos.  Si el Convenio Interadministrativo comprende una erogación presupuestal, debe expedirse un certificado de disponibilidad presupuestal que afecte de forma transitoria el presupuesto y un registro que determine de manera definitiva la aplicación de una porción del presupuesto a la ejecución del proyecto determinado, de conformidad con lo dispuesto en los artículos 71 del Decreto 111 de 1996 y 19 y 20 del Decreto 568 de 1996, reglamentario de la norma orgánica. A nivel Distrital, se regula el tema en forma similar, en el Artículo 52 del Decreto 714 de fecha 15 de noviembre de 1996 expedido por el Alcalde Mayor de Santa Fe de Bogotá, D. C., “</w:t>
            </w:r>
            <w:r w:rsidRPr="00B908AA">
              <w:rPr>
                <w:rFonts w:ascii="Arial Narrow" w:hAnsi="Arial Narrow"/>
                <w:i/>
                <w:sz w:val="24"/>
                <w:szCs w:val="24"/>
              </w:rPr>
              <w:t>Por el cual se compilan el Acuerdo 24 de 1995 y Acuerdo 20 de 1996 que conforman el Estatuto Orgánico del Presupuesto Distrital</w:t>
            </w:r>
            <w:r w:rsidRPr="00B908AA">
              <w:rPr>
                <w:rFonts w:ascii="Arial Narrow" w:hAnsi="Arial Narrow"/>
                <w:sz w:val="24"/>
                <w:szCs w:val="24"/>
              </w:rPr>
              <w:t xml:space="preserve">”. Si luego de estudiar la conveniencia del Convenio Interadministrativo, se llega a la conclusión de que es la figura más viable porque permite lograr economías de escala y mayor eficiencia en el manejo y distribución de los recursos, así se deberá indicar en los antecedentes del Convenio, evento en el cual la entidad ejecutora se podría comprometer a adelantar los procesos de selección respectivos, con base en el certificado de disponibilidad presupuestal expedido, y una vez materializado el proceso de selección con la adjudicación, tales actos administrativos se registrarían presupuestalmente, de tal manera que los recursos de los FDL queden comprometidos con el </w:t>
            </w:r>
            <w:r w:rsidRPr="00B908AA">
              <w:rPr>
                <w:rFonts w:ascii="Arial Narrow" w:hAnsi="Arial Narrow"/>
                <w:sz w:val="24"/>
                <w:szCs w:val="24"/>
              </w:rPr>
              <w:lastRenderedPageBreak/>
              <w:t>contrato respectivo. Se deberán precisar, en este caso, no solo las obligaciones de las partes, en cuanto al control y supervisión de la ejecución del contrato, sino también en cuanto a temas operativos, tales como el pago a los contratistas que resulten beneficiados con las adjudicaciones respectivas; también se deberán considerar los tiempos para la ejecución de los recursos, para garantizar que, llegado el momento de realizar el compromiso presupuestal, se cuente con los mismos.  Adicionalmente, resulta importante mencionar que la Secretaría Distrital de Hacienda emitió el procedimiento cuando se trata de Convenios Interadministrativos con afectación de presupuesto (Ajustes presupuestales por Convenios entre Entidades – Ver presentación Circular Conjunta 003 de 2014 – Alcaldía Mayor de Bogotá – Secretaría de Hacienda).</w:t>
            </w:r>
          </w:p>
        </w:tc>
      </w:tr>
      <w:tr w:rsidR="001668AB" w:rsidRPr="00B908AA" w:rsidTr="00BD629A">
        <w:tc>
          <w:tcPr>
            <w:tcW w:w="2972" w:type="dxa"/>
          </w:tcPr>
          <w:p w:rsidR="001668AB" w:rsidRPr="00B908AA" w:rsidRDefault="001668AB" w:rsidP="001668AB">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lastRenderedPageBreak/>
              <w:t>Fecha: 5-07-2018</w:t>
            </w:r>
          </w:p>
          <w:p w:rsidR="001668AB" w:rsidRPr="00B908AA" w:rsidRDefault="001668AB" w:rsidP="001668AB">
            <w:pPr>
              <w:autoSpaceDE w:val="0"/>
              <w:autoSpaceDN w:val="0"/>
              <w:adjustRightInd w:val="0"/>
              <w:rPr>
                <w:rFonts w:ascii="Arial Narrow" w:hAnsi="Arial Narrow" w:cs="Garamond-Bold"/>
                <w:b/>
                <w:bCs/>
                <w:sz w:val="24"/>
                <w:szCs w:val="24"/>
              </w:rPr>
            </w:pPr>
          </w:p>
        </w:tc>
        <w:tc>
          <w:tcPr>
            <w:tcW w:w="5856" w:type="dxa"/>
          </w:tcPr>
          <w:p w:rsidR="001668AB" w:rsidRPr="00B908AA" w:rsidRDefault="001668AB" w:rsidP="001668AB">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 xml:space="preserve">Autor: Dra. Yolanda Villabona. Directora de Contratación Secretaría Distrital de Gobierno </w:t>
            </w:r>
          </w:p>
        </w:tc>
      </w:tr>
      <w:tr w:rsidR="00B917A3" w:rsidRPr="00B908AA" w:rsidTr="00BD629A">
        <w:tc>
          <w:tcPr>
            <w:tcW w:w="2972" w:type="dxa"/>
          </w:tcPr>
          <w:p w:rsidR="00B917A3" w:rsidRPr="00B908AA" w:rsidRDefault="00B917A3" w:rsidP="00B917A3">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TEMA: CONTRATO DE PRESTACIÓN DE SERVICIOS VERSUS CONTRATO DE TRABAJO; CONCEPTO DE CONTRATO REALIDAD</w:t>
            </w:r>
          </w:p>
        </w:tc>
        <w:tc>
          <w:tcPr>
            <w:tcW w:w="5856" w:type="dxa"/>
          </w:tcPr>
          <w:p w:rsidR="00B917A3" w:rsidRPr="00B908AA" w:rsidRDefault="00B917A3" w:rsidP="00B917A3">
            <w:pPr>
              <w:autoSpaceDE w:val="0"/>
              <w:autoSpaceDN w:val="0"/>
              <w:adjustRightInd w:val="0"/>
              <w:jc w:val="center"/>
              <w:rPr>
                <w:rFonts w:ascii="Arial Narrow" w:hAnsi="Arial Narrow" w:cs="Garamond-Bold"/>
                <w:b/>
                <w:bCs/>
                <w:sz w:val="24"/>
                <w:szCs w:val="24"/>
              </w:rPr>
            </w:pPr>
          </w:p>
          <w:p w:rsidR="00B917A3" w:rsidRPr="00B908AA" w:rsidRDefault="00B917A3" w:rsidP="00B917A3">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B917A3" w:rsidRPr="00B908AA" w:rsidTr="00BD629A">
        <w:tc>
          <w:tcPr>
            <w:tcW w:w="2972" w:type="dxa"/>
          </w:tcPr>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 </w:t>
            </w:r>
          </w:p>
        </w:tc>
        <w:tc>
          <w:tcPr>
            <w:tcW w:w="5856" w:type="dxa"/>
          </w:tcPr>
          <w:p w:rsidR="00B917A3" w:rsidRPr="00B908AA" w:rsidRDefault="00B917A3" w:rsidP="00B917A3">
            <w:pPr>
              <w:pStyle w:val="NormalWeb"/>
              <w:jc w:val="both"/>
              <w:rPr>
                <w:rStyle w:val="l"/>
                <w:rFonts w:ascii="Arial Narrow" w:hAnsi="Arial Narrow" w:cstheme="minorBidi"/>
              </w:rPr>
            </w:pPr>
            <w:r w:rsidRPr="00B908AA">
              <w:rPr>
                <w:rStyle w:val="l"/>
                <w:rFonts w:ascii="Arial Narrow" w:eastAsiaTheme="minorHAnsi" w:hAnsi="Arial Narrow" w:cstheme="minorBidi"/>
                <w:lang w:eastAsia="en-US"/>
              </w:rPr>
              <w:t xml:space="preserve">(…). La Corte Constitucional al examinar la exequibilidad del numeral 3° del artículo 32 de la Ley 80 de 1993, determinó la posibilidad que existe de celebrar contratos de prestación de servicios con las entidades del sector público, y luego de definir sus características y establecer las diferencias con el contrato de trabajo señaló, que el ejercicio de tal potestad se ajusta a la Carta Política, siempre y cuando la Administración no lo utilice para esconder la existencia de una verdadera relación laboral personal, subordinada y dependiente1. Por lo dicho, resulta de suma importancia en este estadio, exponer la naturaleza jurídica de aquella relación contractual, la cual se rige por la Ley 80 de 1993 cuando: se pacta la prestación de servicios relacionados con la administración o funcionamiento de la entidad pública; el contratista es autónomo en el cumplimiento de la labor contratada; le pagan honorarios por los servicios prestados; y, la labor convenida no puede realizarse con personal de planta o requiere conocimientos especializados2. Sobre esta última condición para suscribir contratos de prestación de servicios, vale la pena señalar, que se debe restringir a aquellos casos en los que la entidad pública requiere adelantar labores ocasionales, extraordinarias, accidentales o que temporalmente exceden su capacidad organizativa y funcional; porque, si contrata por prestación de servicios, personas que deben desempeñar exactamente las mismas funciones que de manera permanente </w:t>
            </w:r>
            <w:r w:rsidRPr="00B908AA">
              <w:rPr>
                <w:rStyle w:val="l"/>
                <w:rFonts w:ascii="Arial Narrow" w:eastAsiaTheme="minorHAnsi" w:hAnsi="Arial Narrow" w:cstheme="minorBidi"/>
                <w:lang w:eastAsia="en-US"/>
              </w:rPr>
              <w:lastRenderedPageBreak/>
              <w:t xml:space="preserve">se asignan a los demás servidores públicos, se desdibuja dicha relación contractual3. 2. Respecto de la posición jurisprudencial aplicable al caso. El tema del contrato realidad ha sido una temática que ha sido abordada desde diferentes posiciones, pasando por la doctrina y los órganos de control hasta llegar a la jurisprudencia tanto Constitucional como Contenciosa Administrativa, la cual ha delimitado su aplicación y entendimiento. De tal forma la Sección Segunda de la Sala de lo Contencioso Administrativo del Consejo de Estado ha puntualizado las variables para la existencia no solo material, sino jurídica de aquella institución4. Así pues, veamos: Para aquella Corporación es requisito indispensable que cuando se pretenda acreditar una relación laboral, se acrediten integralmente los tres elementos que le son propios, a saber, (i) la prestación personal del servicio, (ii) la remuneración y en especial y, (iii) la subordinación y dependencia del trabajador respecto del empleador. En la actualidad se tiene, que para acreditar la existencia de una relación laboral es necesario probar los tres elementos referidos; especialmente, que el supuesto contratista desempeñó una función en las mismas condiciones de subordinación y dependencia que sujetarían a cualquier otro servidor público5. No obstante lo anterior, no puede confundirse la existencia de subordinación propia de una relación laboral, con la coordinación que resulta en ocasiones necesaria entre el contratante y el contratista, a fin de dar cumplimiento al objeto contractual pactado, en términos del Estatuto General de Contratación de la Administración Pública, lo que podría incluir el cumplimiento de un horario y el hecho de recibir instrucciones de los superiores o reportar informes sobre resultados, sin que ello significara necesariamente la configuración del elemento subordinación6-7. Teniendo en cuenta el tratamiento jurisprudencial que se ha dado a los contratos realidad, se concluye en cuanto a su configuración, que constituye requisito indispensable para demostrar la existencia de una relación de trabajo, que el interesado acredite en forma incontrovertible los tres elementos de la relación laboral, esto es, la prestación personal del servicio, la remuneración respectiva, y en particular, la subordinación y dependencia en el desarrollo de una función pública, de modo que no quedará duda acerca del desempeño de actividades por parte de determinado contratista en las mismas condiciones de cualquier otro servidor público, siempre y cuando la subordinación continuada que se alega, no se enmarque simplemente en una relación de coordinación entre las partes para el desarrollo del contrato, en virtud de las particularidades de la actividad para la cual fue suscrito8.  A lo que se debe agregar, que la viabilidad de las pretensiones dirigidas a la declaración de un contrato realidad, depende </w:t>
            </w:r>
            <w:r w:rsidRPr="00B908AA">
              <w:rPr>
                <w:rStyle w:val="l"/>
                <w:rFonts w:ascii="Arial Narrow" w:eastAsiaTheme="minorHAnsi" w:hAnsi="Arial Narrow" w:cstheme="minorBidi"/>
                <w:lang w:eastAsia="en-US"/>
              </w:rPr>
              <w:lastRenderedPageBreak/>
              <w:t>exclusivamente de la actividad probatoria de la parte demandante, según el aforismo “onus probandi incumbit actori”, dirigida a desvirtuar la naturaleza contractual de la relación establecida y a acreditar la presencia real de los elementos anteriormente señalados dentro de la actividad desplegada, especialmente el de subordinación, que como se mencionó, es el que de manera primordial desentraña la existencia de una relación laboral encubierta.  Entonces, cuando se logra desvirtuar el contrato de prestación de servicios, inexorablemente se impone el reconocimiento de las prestaciones sociales generadas, atendiendo a la causa jurídica que sustenta verdaderamente dicho restablecimiento, que no es otra, que esa relación laboral que se ocultó bajo el manto solapado de un contrato estatal; ello, en aplicación de los principios de igualdad y de irrenunciabilidad de derechos en materia laboral, consagrados respectivamente en los artículos 13 y 53 de la Carta Fundamental. Con lo que se superó esa prolongada tesis que prohijaba la figura indemnizatoria como resarcimiento de los derechos laborales conculcados9. Sobre esta especial temática y tratamiento ha señalado el máximo órgano de cierre de la jurisdicción contenciosa administrativa lo siguiente</w:t>
            </w:r>
            <w:r w:rsidR="00FB78B1" w:rsidRPr="00B908AA">
              <w:rPr>
                <w:rStyle w:val="l"/>
                <w:rFonts w:ascii="Arial Narrow" w:eastAsiaTheme="minorHAnsi" w:hAnsi="Arial Narrow" w:cstheme="minorBidi"/>
                <w:lang w:eastAsia="en-US"/>
              </w:rPr>
              <w:t>: “</w:t>
            </w:r>
            <w:r w:rsidRPr="00B908AA">
              <w:rPr>
                <w:rStyle w:val="l"/>
                <w:rFonts w:ascii="Arial Narrow" w:eastAsiaTheme="minorHAnsi" w:hAnsi="Arial Narrow" w:cstheme="minorBidi"/>
                <w:lang w:eastAsia="en-US"/>
              </w:rPr>
              <w:t xml:space="preserve">El tema del contrato de prestación de servicios ha generado importantes debates judiciales; sobre el tema, la Corte Constitucional en sentencia C-154 de 1997, con ponencia del Dr. Hernando Herrera Vergara, analizó la diferencia entre tal contrato y el de carácter laboral.  Lo anterior significa que el contrato de prestación de servicios puede ser desvirtuado cuando se demuestran los tres elementos que caracterizan una relación laboral, pero de manera fundamental cuando se comprueba la subordinación o dependencia respecto del empleador, evento en el cual surge el derecho al pago de prestaciones sociales a favor del contratista en aplicación inicialmente del principio de prevalencia de la realidad sobre las formas en las relaciones laborales consagrado en el artículo 53 de la Carta Política, independientemente de la denominación jurídica que se le haya dado a dicha relación.  Al respecto, esta Corporación en fallos como el del 23 de junio de 2005 proferido dentro del expediente No. 0245 por el Dr. Jesús María Lemos Bustamante, ha reiterado la necesidad de que se acrediten fehacientemente los tres elementos propios de una relación de trabajo, pero en especial que se demuestre que la labor se prestó en forma subordinada y dependiente respecto del empleador. Tal tesis, se contrapone a la Jurisprudencia anterior en la que se sostuvo que entre contratante y contratista podía existir una relación de coordinación en sus actividades, de manera que concurra un sometimiento a las condiciones necesarias para el desarrollo eficiente de la actividad encomendada, lo cual incluye el cumplimiento de horario, el </w:t>
            </w:r>
            <w:r w:rsidRPr="00B908AA">
              <w:rPr>
                <w:rStyle w:val="l"/>
                <w:rFonts w:ascii="Arial Narrow" w:eastAsiaTheme="minorHAnsi" w:hAnsi="Arial Narrow" w:cstheme="minorBidi"/>
                <w:lang w:eastAsia="en-US"/>
              </w:rPr>
              <w:lastRenderedPageBreak/>
              <w:t xml:space="preserve">hecho de recibir una serie de instrucciones de sus superiores o de tener que reportar informes sobre sus resultados, sin que ello signifique necesariamente la configuración del elemento de subordinación.  Así se estipuló en sentencia de la Sala Plena del Consejo de Estado del 18 de noviembre de 2003, Rad. IJ-0039 M.P. Nicolás Pájaro Peñaranda. El razonamiento fue replanteado por la Sección Segunda, que en fallos como el inicialmente citado del 23 de junio de 2005, volvió a la tesis primigenia que había sido trazada ya desde la sentencia del 18 de marzo de 1999, con ponencia del Magistrado Flavio Rodríguez Arce (Exp. 11722 – 1198/98). De acuerdo con lo anteriormente expuesto, se recoge, que para acreditar la existencia de una relación laboral, es necesario probar los tres elementos inicialmente referidos, pero especialmente, que el supuesto contratista desempeñó una función pública en las mismas condiciones de subordinación y dependencia que sujetarían a cualquier otro servidor público, constatando de ésta manera, que las actividades realizadas no son de aquellas indispensables en virtud de la necesaria relación de coordinación entre las partes contractuales...”10 (Cursiva, negrilla y subrayado por fuera del texto original). Esta situación automáticamente no implica que los contratos que suscriben las entidades bajo esta modalidad, constituyan de suyo negocios jurídicos laborales, pues el entendimiento material y jurídico de aquellos contratos debe efectuarse bajo la lectura de las normas jurídicas que regulan su existencia, observando los fundamentos que dieron origen al mismo y la forma en la cual se perfeccionaron y ejecutaron, esto de la mano de la interpretación que sobre el particular han efectuado los órganos de cierre en las jurisdicciones constitucional y contenciosa administrativa. </w:t>
            </w:r>
          </w:p>
        </w:tc>
      </w:tr>
      <w:tr w:rsidR="00B917A3" w:rsidRPr="00B908AA" w:rsidTr="00BD629A">
        <w:tc>
          <w:tcPr>
            <w:tcW w:w="2972" w:type="dxa"/>
          </w:tcPr>
          <w:p w:rsidR="00B917A3" w:rsidRPr="001668AB" w:rsidRDefault="00B917A3" w:rsidP="00B917A3">
            <w:pPr>
              <w:autoSpaceDE w:val="0"/>
              <w:autoSpaceDN w:val="0"/>
              <w:adjustRightInd w:val="0"/>
              <w:jc w:val="both"/>
              <w:rPr>
                <w:rFonts w:ascii="Arial Narrow" w:hAnsi="Arial Narrow" w:cs="Garamond-Bold"/>
                <w:b/>
                <w:bCs/>
                <w:sz w:val="24"/>
                <w:szCs w:val="24"/>
              </w:rPr>
            </w:pPr>
            <w:r w:rsidRPr="001668AB">
              <w:rPr>
                <w:rFonts w:ascii="Arial Narrow" w:hAnsi="Arial Narrow" w:cs="Garamond-Bold"/>
                <w:b/>
                <w:bCs/>
                <w:sz w:val="24"/>
                <w:szCs w:val="24"/>
              </w:rPr>
              <w:lastRenderedPageBreak/>
              <w:t>FECHA: 16-01-2018</w:t>
            </w:r>
          </w:p>
        </w:tc>
        <w:tc>
          <w:tcPr>
            <w:tcW w:w="5856" w:type="dxa"/>
          </w:tcPr>
          <w:p w:rsidR="00B917A3" w:rsidRPr="00B908AA" w:rsidRDefault="00B917A3" w:rsidP="00B917A3">
            <w:pPr>
              <w:pStyle w:val="NormalWeb"/>
              <w:jc w:val="both"/>
              <w:rPr>
                <w:rStyle w:val="l"/>
                <w:rFonts w:ascii="Arial Narrow" w:eastAsiaTheme="minorHAnsi" w:hAnsi="Arial Narrow" w:cstheme="minorBidi"/>
                <w:lang w:eastAsia="en-US"/>
              </w:rPr>
            </w:pPr>
            <w:r w:rsidRPr="00B908AA">
              <w:rPr>
                <w:rFonts w:ascii="Arial Narrow" w:hAnsi="Arial Narrow" w:cs="Garamond-Bold"/>
                <w:b/>
                <w:bCs/>
              </w:rPr>
              <w:t>Autor: Dr</w:t>
            </w:r>
            <w:r>
              <w:rPr>
                <w:rFonts w:ascii="Arial Narrow" w:hAnsi="Arial Narrow" w:cs="Garamond-Bold"/>
                <w:b/>
                <w:bCs/>
              </w:rPr>
              <w:t>a</w:t>
            </w:r>
            <w:r w:rsidRPr="00B908AA">
              <w:rPr>
                <w:rFonts w:ascii="Arial Narrow" w:hAnsi="Arial Narrow" w:cs="Garamond-Bold"/>
                <w:b/>
                <w:bCs/>
              </w:rPr>
              <w:t xml:space="preserve">. </w:t>
            </w:r>
            <w:r>
              <w:rPr>
                <w:rFonts w:ascii="Arial Narrow" w:hAnsi="Arial Narrow" w:cs="Garamond-Bold"/>
                <w:b/>
                <w:bCs/>
              </w:rPr>
              <w:t>Yolanda Villabona. Directora de Contratación</w:t>
            </w:r>
            <w:r w:rsidRPr="00B908AA">
              <w:rPr>
                <w:rFonts w:ascii="Arial Narrow" w:hAnsi="Arial Narrow" w:cs="Garamond-Bold"/>
                <w:b/>
                <w:bCs/>
              </w:rPr>
              <w:t xml:space="preserve"> Secretaría Distrital de Gobierno.</w:t>
            </w:r>
          </w:p>
        </w:tc>
      </w:tr>
      <w:tr w:rsidR="00B917A3" w:rsidRPr="00B908AA" w:rsidTr="00BD629A">
        <w:tc>
          <w:tcPr>
            <w:tcW w:w="2972" w:type="dxa"/>
          </w:tcPr>
          <w:p w:rsidR="00B917A3" w:rsidRPr="00B908AA" w:rsidRDefault="00B917A3" w:rsidP="00B917A3">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TEMA: DELEGACION PARA CONTRATAR Y ORDENAR GASTOS/DESIGNACION DE SUPERVISOR</w:t>
            </w:r>
          </w:p>
        </w:tc>
        <w:tc>
          <w:tcPr>
            <w:tcW w:w="5856" w:type="dxa"/>
          </w:tcPr>
          <w:p w:rsidR="00B917A3" w:rsidRPr="00B908AA" w:rsidRDefault="00B917A3" w:rsidP="00B917A3">
            <w:pPr>
              <w:autoSpaceDE w:val="0"/>
              <w:autoSpaceDN w:val="0"/>
              <w:adjustRightInd w:val="0"/>
              <w:jc w:val="center"/>
              <w:rPr>
                <w:rFonts w:ascii="Arial Narrow" w:hAnsi="Arial Narrow" w:cs="Garamond-Bold"/>
                <w:b/>
                <w:bCs/>
                <w:sz w:val="24"/>
                <w:szCs w:val="24"/>
              </w:rPr>
            </w:pPr>
          </w:p>
          <w:p w:rsidR="00B917A3" w:rsidRPr="00B908AA" w:rsidRDefault="00B917A3" w:rsidP="00B917A3">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B917A3" w:rsidRPr="00B908AA" w:rsidTr="00BD629A">
        <w:tc>
          <w:tcPr>
            <w:tcW w:w="2972" w:type="dxa"/>
          </w:tcPr>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Cs/>
                <w:sz w:val="24"/>
                <w:szCs w:val="24"/>
              </w:rPr>
            </w:pPr>
          </w:p>
          <w:p w:rsidR="00B917A3" w:rsidRPr="00B908AA" w:rsidRDefault="00B917A3" w:rsidP="00B917A3">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 </w:t>
            </w:r>
          </w:p>
        </w:tc>
        <w:tc>
          <w:tcPr>
            <w:tcW w:w="5856" w:type="dxa"/>
          </w:tcPr>
          <w:p w:rsidR="00B917A3" w:rsidRPr="00B908AA" w:rsidRDefault="00B917A3" w:rsidP="00B917A3">
            <w:pPr>
              <w:pStyle w:val="Standard"/>
              <w:jc w:val="both"/>
              <w:rPr>
                <w:rFonts w:ascii="Arial Narrow" w:hAnsi="Arial Narrow" w:cs="Garamond-Bold"/>
                <w:bCs/>
                <w:sz w:val="24"/>
                <w:szCs w:val="24"/>
              </w:rPr>
            </w:pPr>
            <w:r w:rsidRPr="00B908AA">
              <w:rPr>
                <w:rFonts w:ascii="Arial Narrow" w:eastAsiaTheme="minorHAnsi" w:hAnsi="Arial Narrow" w:cs="Garamond-Bold"/>
                <w:b/>
                <w:bCs/>
                <w:color w:val="auto"/>
                <w:kern w:val="0"/>
                <w:sz w:val="24"/>
                <w:szCs w:val="24"/>
                <w:lang w:val="es-CO" w:eastAsia="en-US"/>
              </w:rPr>
              <w:lastRenderedPageBreak/>
              <w:t>Alcance delegación de facultad de contratar, ordenar gastos y pagos al Alcalde Local</w:t>
            </w:r>
            <w:r w:rsidRPr="00B908AA">
              <w:rPr>
                <w:rFonts w:ascii="Arial Narrow" w:eastAsiaTheme="minorHAnsi" w:hAnsi="Arial Narrow" w:cs="Garamond-Bold"/>
                <w:bCs/>
                <w:color w:val="auto"/>
                <w:kern w:val="0"/>
                <w:sz w:val="24"/>
                <w:szCs w:val="24"/>
                <w:lang w:val="es-CO" w:eastAsia="en-US"/>
              </w:rPr>
              <w:t xml:space="preserve"> (…) </w:t>
            </w:r>
            <w:r w:rsidRPr="00B908AA">
              <w:rPr>
                <w:rFonts w:ascii="Arial Narrow" w:eastAsiaTheme="minorHAnsi" w:hAnsi="Arial Narrow" w:cs="Garamond-Bold"/>
                <w:bCs/>
                <w:color w:val="auto"/>
                <w:sz w:val="24"/>
                <w:szCs w:val="24"/>
                <w:lang w:val="es-CO" w:eastAsia="en-US"/>
              </w:rPr>
              <w:t xml:space="preserve">En cuanto a la delegación de funciones por parte de las autoridades administrativas, el artículo 211 de la Constitución Política de Colombia atribuye al legislador la facultad de fijar las condiciones para que éstas deleguen en sus subalternos o en otras autoridades. El inciso segundo de la mencionada norma determina que la delegación exime de responsabilidad al delegante, la cual corresponderá exclusivamente al delegatario, cuyos actos o resoluciones podrá siempre reformar o revocar aquel, reasumiendo la responsabilidad consiguiente. Esta figura jurídica fue desarrollada en La Ley 489 de 1998, “Por la cual se dictan </w:t>
            </w:r>
            <w:r w:rsidRPr="00B908AA">
              <w:rPr>
                <w:rFonts w:ascii="Arial Narrow" w:eastAsiaTheme="minorHAnsi" w:hAnsi="Arial Narrow" w:cs="Garamond-Bold"/>
                <w:bCs/>
                <w:color w:val="auto"/>
                <w:sz w:val="24"/>
                <w:szCs w:val="24"/>
                <w:lang w:val="es-CO" w:eastAsia="en-US"/>
              </w:rPr>
              <w:lastRenderedPageBreak/>
              <w:t xml:space="preserve">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 cuyo artículo 9 y siguientes señalan: </w:t>
            </w:r>
            <w:r w:rsidRPr="00B908AA">
              <w:rPr>
                <w:rFonts w:ascii="Arial Narrow" w:eastAsiaTheme="minorHAnsi" w:hAnsi="Arial Narrow" w:cs="Garamond-Bold"/>
                <w:bCs/>
                <w:color w:val="auto"/>
                <w:kern w:val="0"/>
                <w:sz w:val="24"/>
                <w:szCs w:val="24"/>
                <w:lang w:val="es-CO" w:eastAsia="en-US"/>
              </w:rPr>
              <w:t>Las autoridades administrativas, mediante el acto de Delegación pueden transferir el ejercicio de funciones a sus colaboradores o a otras autoridades, con funciones afines o complementarias. También pueden delegar la atención y decisión de los asuntos a ellos confiados por la ley, en los empleados públicos de los niveles directivo y asesor vinculados al organismo correspondiente, con el propósito de dar desarrollo a los principios de la función administrativa.</w:t>
            </w:r>
            <w:r w:rsidRPr="00B908AA">
              <w:rPr>
                <w:rFonts w:ascii="Arial Narrow" w:eastAsiaTheme="minorHAnsi" w:hAnsi="Arial Narrow" w:cs="Garamond-Bold"/>
                <w:bCs/>
                <w:color w:val="auto"/>
                <w:kern w:val="0"/>
                <w:sz w:val="24"/>
                <w:szCs w:val="24"/>
                <w:lang w:val="es-CO" w:eastAsia="en-US"/>
              </w:rPr>
              <w:footnoteReference w:id="3"/>
            </w:r>
            <w:r w:rsidRPr="00B908AA">
              <w:rPr>
                <w:rFonts w:ascii="Arial Narrow" w:eastAsiaTheme="minorHAnsi" w:hAnsi="Arial Narrow" w:cs="Garamond-Bold"/>
                <w:bCs/>
                <w:color w:val="auto"/>
                <w:kern w:val="0"/>
                <w:sz w:val="24"/>
                <w:szCs w:val="24"/>
                <w:lang w:val="es-CO" w:eastAsia="en-US"/>
              </w:rPr>
              <w:t xml:space="preserve"> El acto de delegación siempre será escrito y determinará la autoridad delegataria y las funciones o asuntos específicos cuya atención y decisión se transfieren. </w:t>
            </w:r>
            <w:r w:rsidRPr="00B908AA">
              <w:rPr>
                <w:rFonts w:ascii="Arial Narrow" w:eastAsiaTheme="minorHAnsi" w:hAnsi="Arial Narrow" w:cs="Garamond-Bold"/>
                <w:bCs/>
                <w:color w:val="auto"/>
                <w:sz w:val="24"/>
                <w:szCs w:val="24"/>
                <w:lang w:val="es-CO" w:eastAsia="en-US"/>
              </w:rPr>
              <w:t xml:space="preserve">No se pueden delegar la expedición de reglamentos de carácter general, salvo en los casos expresamente autorizados por la ley, las funciones atribuciones y potestades recibidas en virtud de delegación y las funciones que por su naturaleza o por mandato constitucional o legal no son susceptibles de delegación. Los actos expedidos por las autoridades delegatarias estarán sometidos a los mismos requisitos establecidos para su expedición por la autoridad o entidad delegante y serán susceptibles de los recursos procedentes contra los actos de ellas. El parágrafo del artículo 12 Ibidem dispone lo siguiente: “En todo caso relacionado con la contratación, el acto de la firma expresamente delegada, no exime de la responsabilidad legal civil y penal al agente principal”. El fundamento legal para la delegación de la competencia asignada al Alcalde Mayor de Bogotá, D. C. como Jefe de Gobierno y de la Administración Distrital en los Alcaldes Locales, es el artículo 92 del Decreto 1421 de 1993 (…) mediante el Decreto Distrital No. 101 de 2010 (…) se delegó en los Alcaldes Locales la facultad de contratación, en los siguientes términos: El artículo 8º. del referido Decreto 101 de 2010 consagra la delegación que hace el Alcalde Mayor de Bogotá, D. C. de la facultad de contratación en los Alcaldes y Alcaldesas locales, en los siguientes términos: “Delegar en los Alcaldes o Alcaldesas Locales la facultad para contratar, ordenar los gastos y pagos con cargo al presupuesto de los Fondos de Desarrollo Local, de acuerdo con la estructura establecida en el Plan de Desarrollo </w:t>
            </w:r>
            <w:r w:rsidRPr="00B908AA">
              <w:rPr>
                <w:rFonts w:ascii="Arial Narrow" w:eastAsiaTheme="minorHAnsi" w:hAnsi="Arial Narrow" w:cs="Garamond-Bold"/>
                <w:bCs/>
                <w:color w:val="auto"/>
                <w:sz w:val="24"/>
                <w:szCs w:val="24"/>
                <w:lang w:val="es-CO" w:eastAsia="en-US"/>
              </w:rPr>
              <w:lastRenderedPageBreak/>
              <w:t xml:space="preserve">Local que esté vigente…”. Por su parte, mediante el Decreto 548 de 2017, Artículo 3º, el Alcalde Mayor de Bogotá, D. C. (E) “Delegó temporalmente, en el Alcalde Local de Santa Fe, la facultad para contratar, ordenar los gastos y pagos con cargo al presupuesto del Fondo de Desarrollo Local de Barrios Unidos, de acuerdo con la estructura establecida en el Plan de Desarrollo Local que esté vigente” (…) </w:t>
            </w:r>
            <w:r w:rsidRPr="00B908AA">
              <w:rPr>
                <w:rFonts w:ascii="Arial Narrow" w:eastAsiaTheme="minorHAnsi" w:hAnsi="Arial Narrow" w:cs="Garamond-Bold"/>
                <w:b/>
                <w:bCs/>
                <w:color w:val="auto"/>
                <w:sz w:val="24"/>
                <w:szCs w:val="24"/>
                <w:lang w:val="es-CO" w:eastAsia="en-US"/>
              </w:rPr>
              <w:t>Alcance de la facultad para contratar, ordenar los gastos y pagos.</w:t>
            </w:r>
            <w:r w:rsidRPr="00B908AA">
              <w:rPr>
                <w:rFonts w:ascii="Arial Narrow" w:eastAsiaTheme="minorHAnsi" w:hAnsi="Arial Narrow" w:cs="Garamond-Bold"/>
                <w:bCs/>
                <w:color w:val="auto"/>
                <w:sz w:val="24"/>
                <w:szCs w:val="24"/>
                <w:lang w:val="es-CO" w:eastAsia="en-US"/>
              </w:rPr>
              <w:t xml:space="preserve"> El numeral 5 del Artículo 26 de la Ley 80 de 1993 dispone que la responsabilidad de la dirección y manejo de la actividad </w:t>
            </w:r>
            <w:r w:rsidR="00FB78B1" w:rsidRPr="00B908AA">
              <w:rPr>
                <w:rFonts w:ascii="Arial Narrow" w:eastAsiaTheme="minorHAnsi" w:hAnsi="Arial Narrow" w:cs="Garamond-Bold"/>
                <w:bCs/>
                <w:color w:val="auto"/>
                <w:sz w:val="24"/>
                <w:szCs w:val="24"/>
                <w:lang w:val="es-CO" w:eastAsia="en-US"/>
              </w:rPr>
              <w:t>contractual y</w:t>
            </w:r>
            <w:r w:rsidRPr="00B908AA">
              <w:rPr>
                <w:rFonts w:ascii="Arial Narrow" w:eastAsiaTheme="minorHAnsi" w:hAnsi="Arial Narrow" w:cs="Garamond-Bold"/>
                <w:bCs/>
                <w:color w:val="auto"/>
                <w:sz w:val="24"/>
                <w:szCs w:val="24"/>
                <w:lang w:val="es-CO" w:eastAsia="en-US"/>
              </w:rPr>
              <w:t xml:space="preserve"> la de los procesos de selección será del jefe o representante de la entidad estatal quien no podrá trasladarla a las juntas o consejos directivos de la entidad, ni a las corporaciones de elección popular, a los comités asesores, ni a los organismos de control y vigilancia de la misma. En el caso que nos ocupa, el Alcalde Mayor de Bogotá, D. C. atribuyó al Alcalde Local de Santa Fe la facultad para contratar, ordenar los gastos y pagos con cargo al presupuesto del Fondo de Desarrollo Local de Barrios Unidos, entendiendo que la facultad de contratar, en la administración pública comprende las actividades inherentes a las etapas pre-contractual, contractual y post-contractual, que se surten desde el proceso mismo de planeación de la contratación, la selección del contratista, la celebración y ejecución del contrato y su liquidación. “El concepto de ordenador del gasto se refiere a la capacidad de ejecución del presupuesto. Ejecutar el gasto, significa que, a partir del programa de gastos aprobado - limitado por los recursos aprobados en la ley de presupuesto -, se decide la oportunidad de contratar, comprometer los recursos y ordenar el gasto, funciones que atañen al ordenador del gasto</w:t>
            </w:r>
            <w:r w:rsidRPr="00B908AA">
              <w:rPr>
                <w:rFonts w:ascii="Arial Narrow" w:eastAsiaTheme="minorHAnsi" w:hAnsi="Arial Narrow" w:cs="Garamond-Bold"/>
                <w:bCs/>
                <w:color w:val="auto"/>
                <w:sz w:val="24"/>
                <w:szCs w:val="24"/>
                <w:lang w:val="es-CO" w:eastAsia="en-US"/>
              </w:rPr>
              <w:footnoteReference w:id="4"/>
            </w:r>
            <w:r w:rsidRPr="00B908AA">
              <w:rPr>
                <w:rFonts w:ascii="Arial Narrow" w:eastAsiaTheme="minorHAnsi" w:hAnsi="Arial Narrow" w:cs="Garamond-Bold"/>
                <w:bCs/>
                <w:color w:val="auto"/>
                <w:sz w:val="24"/>
                <w:szCs w:val="24"/>
                <w:lang w:val="es-CO" w:eastAsia="en-US"/>
              </w:rPr>
              <w:t>. El Proceso de Contratación, fue definido en el Artículo 2.2.1.1.1.3.1. del Decreto 1082 de 2015, “Por medio del cual se expide el Decreto único Reglamentario del Sector Administrativo de Planeación Nacional”, como el “Conjunto de actos y actividades, y su secuencia, adelantadas por la Entidad Estatal desde la planeación hasta el vencimiento de las garantías de calidad, estabilidad y mantenimiento, o las condiciones de disposición final o recuperación ambiental de las obras o bienes o el vencimiento del plazo, lo que ocurra más tarde”. A su vez, el Estatuto Orgánico del Presupuesto, Decreto Ley 111 de 1996, Capítulo XVI, artículo 110, hace referencia a la Capacidad de contratación, ordenación del gasto y la autonomía presupuestal, en los siguientes términos: “ARTÍCULO </w:t>
            </w:r>
            <w:bookmarkStart w:id="2" w:name="BM110"/>
            <w:r w:rsidRPr="00B908AA">
              <w:rPr>
                <w:rFonts w:ascii="Arial Narrow" w:eastAsiaTheme="minorHAnsi" w:hAnsi="Arial Narrow" w:cs="Garamond-Bold"/>
                <w:bCs/>
                <w:color w:val="auto"/>
                <w:sz w:val="24"/>
                <w:szCs w:val="24"/>
                <w:lang w:val="es-CO" w:eastAsia="en-US"/>
              </w:rPr>
              <w:t> </w:t>
            </w:r>
            <w:bookmarkEnd w:id="2"/>
            <w:r w:rsidRPr="00B908AA">
              <w:rPr>
                <w:rFonts w:ascii="Arial Narrow" w:eastAsiaTheme="minorHAnsi" w:hAnsi="Arial Narrow" w:cs="Garamond-Bold"/>
                <w:bCs/>
                <w:color w:val="auto"/>
                <w:sz w:val="24"/>
                <w:szCs w:val="24"/>
                <w:lang w:val="es-CO" w:eastAsia="en-US"/>
              </w:rPr>
              <w:t xml:space="preserve">110. Los órganos que son una sección en el presupuesto general de la </w:t>
            </w:r>
            <w:r w:rsidR="00FB78B1" w:rsidRPr="00B908AA">
              <w:rPr>
                <w:rFonts w:ascii="Arial Narrow" w:eastAsiaTheme="minorHAnsi" w:hAnsi="Arial Narrow" w:cs="Garamond-Bold"/>
                <w:bCs/>
                <w:color w:val="auto"/>
                <w:sz w:val="24"/>
                <w:szCs w:val="24"/>
                <w:lang w:val="es-CO" w:eastAsia="en-US"/>
              </w:rPr>
              <w:t>Nación</w:t>
            </w:r>
            <w:r w:rsidRPr="00B908AA">
              <w:rPr>
                <w:rFonts w:ascii="Arial Narrow" w:eastAsiaTheme="minorHAnsi" w:hAnsi="Arial Narrow" w:cs="Garamond-Bold"/>
                <w:bCs/>
                <w:color w:val="auto"/>
                <w:sz w:val="24"/>
                <w:szCs w:val="24"/>
                <w:lang w:val="es-CO" w:eastAsia="en-US"/>
              </w:rPr>
              <w:t xml:space="preserve"> tendrán la capacidad de contratar y comprometer a nombre de la persona jurídica de la cual hagan parte, y ordenar el gasto en desarrollo </w:t>
            </w:r>
            <w:r w:rsidRPr="00B908AA">
              <w:rPr>
                <w:rFonts w:ascii="Arial Narrow" w:eastAsiaTheme="minorHAnsi" w:hAnsi="Arial Narrow" w:cs="Garamond-Bold"/>
                <w:bCs/>
                <w:color w:val="auto"/>
                <w:sz w:val="24"/>
                <w:szCs w:val="24"/>
                <w:lang w:val="es-CO" w:eastAsia="en-US"/>
              </w:rPr>
              <w:lastRenderedPageBreak/>
              <w:t>de las apropiaciones incorporadas en la respectiva sección, lo que constituye la autonomía presupuestal a que se refieren la Constitución Política y la ley. Estas facultades estarán en cabeza del jefe de cada órgano quien podrá delegarlas en funcionarios del nivel directivo o quien haga sus veces, y serán ejercidas teniendo en cuenta las normas consagradas en el estatuto general de contratación de la administración pública y en las disposiciones legales vigentes…En los mismos términos y condiciones tendrán estas capacidades las … entidades territoriales… y todos los demás órganos estatales de cualquier nivel que tengan personería jurídica. En lo que respecta a las responsabilidades, los artículos 112 y 133 disponen: “ARTÍCULO 112. Además de la responsabilidad penal a que haya lugar, serán fiscalmente responsables: a) Los ordenadores de gastos y cualquier otro funcionario que contraiga a nombre de los órganos oficiales obligaciones no autorizadas en la ley, o que expidan giros para pagos de las mismas; (…) c) El ordenador de gastos que solicite la constitución de reservas para el pago de obligaciones contraídas contra expresa prohibición legal (…). PARÁGRAFO Los ordenadores, pagadores, auditores, y demás funcionarios responsables que estando disponibles los fondos y legalizados los compromisos demoren sin justa causa su cancelación o pago, incurrirán en causal de mala conducta (L. 38/89, art. </w:t>
            </w:r>
            <w:hyperlink r:id="rId12" w:anchor="89" w:history="1">
              <w:r w:rsidRPr="00B908AA">
                <w:rPr>
                  <w:rFonts w:ascii="Arial Narrow" w:eastAsiaTheme="minorHAnsi" w:hAnsi="Arial Narrow" w:cs="Garamond-Bold"/>
                  <w:bCs/>
                  <w:color w:val="auto"/>
                  <w:sz w:val="24"/>
                  <w:szCs w:val="24"/>
                  <w:lang w:eastAsia="en-US"/>
                </w:rPr>
                <w:t>89</w:t>
              </w:r>
            </w:hyperlink>
            <w:r w:rsidRPr="00B908AA">
              <w:rPr>
                <w:rFonts w:ascii="Arial Narrow" w:eastAsiaTheme="minorHAnsi" w:hAnsi="Arial Narrow" w:cs="Garamond-Bold"/>
                <w:bCs/>
                <w:color w:val="auto"/>
                <w:sz w:val="24"/>
                <w:szCs w:val="24"/>
                <w:lang w:val="es-CO" w:eastAsia="en-US"/>
              </w:rPr>
              <w:t>; L. 179/94, art. 55, incs. </w:t>
            </w:r>
            <w:hyperlink r:id="rId13" w:anchor="55.i.3" w:history="1">
              <w:r w:rsidRPr="00B908AA">
                <w:rPr>
                  <w:rFonts w:ascii="Arial Narrow" w:eastAsiaTheme="minorHAnsi" w:hAnsi="Arial Narrow" w:cs="Garamond-Bold"/>
                  <w:bCs/>
                  <w:color w:val="auto"/>
                  <w:sz w:val="24"/>
                  <w:szCs w:val="24"/>
                  <w:lang w:eastAsia="en-US"/>
                </w:rPr>
                <w:t>3º</w:t>
              </w:r>
            </w:hyperlink>
            <w:r w:rsidRPr="00B908AA">
              <w:rPr>
                <w:rFonts w:ascii="Arial Narrow" w:eastAsiaTheme="minorHAnsi" w:hAnsi="Arial Narrow" w:cs="Garamond-Bold"/>
                <w:bCs/>
                <w:color w:val="auto"/>
                <w:sz w:val="24"/>
                <w:szCs w:val="24"/>
                <w:lang w:val="es-CO" w:eastAsia="en-US"/>
              </w:rPr>
              <w:t> y </w:t>
            </w:r>
            <w:hyperlink r:id="rId14" w:anchor="55.i.16" w:history="1">
              <w:r w:rsidRPr="00B908AA">
                <w:rPr>
                  <w:rFonts w:ascii="Arial Narrow" w:eastAsiaTheme="minorHAnsi" w:hAnsi="Arial Narrow" w:cs="Garamond-Bold"/>
                  <w:bCs/>
                  <w:color w:val="auto"/>
                  <w:sz w:val="24"/>
                  <w:szCs w:val="24"/>
                  <w:lang w:eastAsia="en-US"/>
                </w:rPr>
                <w:t>16</w:t>
              </w:r>
            </w:hyperlink>
            <w:r w:rsidRPr="00B908AA">
              <w:rPr>
                <w:rFonts w:ascii="Arial Narrow" w:eastAsiaTheme="minorHAnsi" w:hAnsi="Arial Narrow" w:cs="Garamond-Bold"/>
                <w:bCs/>
                <w:color w:val="auto"/>
                <w:sz w:val="24"/>
                <w:szCs w:val="24"/>
                <w:lang w:val="es-CO" w:eastAsia="en-US"/>
              </w:rPr>
              <w:t>, art. 71). ARTÍCULO 113. Los ordenadores y pagadores serán solidariamente responsables de los pagos que efectúen sin el lleno de los requisitos legales. La Contraloría General de la República velará por el estricto cumplimiento de esta disposición (L. 38/89, art. </w:t>
            </w:r>
            <w:hyperlink r:id="rId15" w:anchor="62" w:history="1">
              <w:r w:rsidRPr="00B908AA">
                <w:rPr>
                  <w:rFonts w:ascii="Arial Narrow" w:eastAsiaTheme="minorHAnsi" w:hAnsi="Arial Narrow" w:cs="Garamond-Bold"/>
                  <w:bCs/>
                  <w:color w:val="auto"/>
                  <w:sz w:val="24"/>
                  <w:szCs w:val="24"/>
                  <w:lang w:eastAsia="en-US"/>
                </w:rPr>
                <w:t>62</w:t>
              </w:r>
            </w:hyperlink>
            <w:r w:rsidRPr="00B908AA">
              <w:rPr>
                <w:rFonts w:ascii="Arial Narrow" w:eastAsiaTheme="minorHAnsi" w:hAnsi="Arial Narrow" w:cs="Garamond-Bold"/>
                <w:bCs/>
                <w:color w:val="auto"/>
                <w:sz w:val="24"/>
                <w:szCs w:val="24"/>
                <w:lang w:val="es-CO" w:eastAsia="en-US"/>
              </w:rPr>
              <w:t>; L. 179/94, art. </w:t>
            </w:r>
            <w:hyperlink r:id="rId16" w:anchor="71" w:history="1">
              <w:r w:rsidRPr="00B908AA">
                <w:rPr>
                  <w:rFonts w:ascii="Arial Narrow" w:eastAsiaTheme="minorHAnsi" w:hAnsi="Arial Narrow" w:cs="Garamond-Bold"/>
                  <w:bCs/>
                  <w:color w:val="auto"/>
                  <w:sz w:val="24"/>
                  <w:szCs w:val="24"/>
                  <w:lang w:eastAsia="en-US"/>
                </w:rPr>
                <w:t>71</w:t>
              </w:r>
            </w:hyperlink>
            <w:r w:rsidRPr="00B908AA">
              <w:rPr>
                <w:rFonts w:ascii="Arial Narrow" w:eastAsiaTheme="minorHAnsi" w:hAnsi="Arial Narrow" w:cs="Garamond-Bold"/>
                <w:bCs/>
                <w:color w:val="auto"/>
                <w:sz w:val="24"/>
                <w:szCs w:val="24"/>
                <w:lang w:val="es-CO" w:eastAsia="en-US"/>
              </w:rPr>
              <w:t xml:space="preserve">)”. Con fundamento en las disposiciones mencionadas, la facultad de contratar y de ordenar el gasto, que por disposición legal se ejerce teniendo en cuenta las normas consagradas en el estatuto general de contratación de la administración pública y en las disposiciones legales vigentes, comprende todas aquellas actividades dentro de las etapas pre-contractual, contractual y post-contractual, señaladas en el Estatuto de Contratación, entre las cuales se encuentran las que fueron materia de su consulta, esto es, la suscripción de los estudios previos y la solicitud de los certificados de disponibilidad presupuestal necesarios para adelantar el proceso de selección de que se trate.  De igual manera, el ordenador del gasto posee también las facultades que se requieren para responder ante las incidencias que se presenten en el curso del contrato,  entendiéndose entre ellas las suspensiones, declaratoria de incumplimiento, imposición de multas, prórrogas y adiciones, aprobación de pólizas, cesiones de contrato, actas de inicio, expedición de certificaciones, e. t. c,  y en general todas aquellas actividades inherentes al proceso de contratación, asumiendo la </w:t>
            </w:r>
            <w:r w:rsidRPr="00B908AA">
              <w:rPr>
                <w:rFonts w:ascii="Arial Narrow" w:eastAsiaTheme="minorHAnsi" w:hAnsi="Arial Narrow" w:cs="Garamond-Bold"/>
                <w:bCs/>
                <w:color w:val="auto"/>
                <w:sz w:val="24"/>
                <w:szCs w:val="24"/>
                <w:lang w:val="es-CO" w:eastAsia="en-US"/>
              </w:rPr>
              <w:lastRenderedPageBreak/>
              <w:t>responsabilidad por el ejercicio de estas funciones, sin perjuicio de que se le proporcione el apoyo requerido para el debido funcionamiento del Fondo de Desarrollo Local. Designación de supervisor y labores de supervisión</w:t>
            </w:r>
            <w:r w:rsidRPr="00B908AA">
              <w:rPr>
                <w:rFonts w:ascii="Arial Narrow" w:eastAsiaTheme="minorHAnsi" w:hAnsi="Arial Narrow" w:cs="Garamond-Bold"/>
                <w:bCs/>
                <w:sz w:val="24"/>
                <w:szCs w:val="24"/>
                <w:lang w:val="es-CO" w:eastAsia="en-US"/>
              </w:rPr>
              <w:t xml:space="preserve">. </w:t>
            </w:r>
            <w:r w:rsidRPr="00B908AA">
              <w:rPr>
                <w:rFonts w:ascii="Arial Narrow" w:eastAsiaTheme="minorHAnsi" w:hAnsi="Arial Narrow" w:cs="Garamond-Bold"/>
                <w:bCs/>
                <w:color w:val="auto"/>
                <w:sz w:val="24"/>
                <w:szCs w:val="24"/>
                <w:lang w:val="es-CO" w:eastAsia="en-US"/>
              </w:rPr>
              <w:t xml:space="preserve">En cuanto a las labores de supervisión, consistentes en controlar, colaborar, vigilar, exigir, prevenir solicitar y evaluar la ejecución de los contratos, en sus aspectos legales, administrativos, técnicos, financieros y contables, debe ser desarrollada por la persona que designe el ordenador del gasto, dado que como se observó, él es quien responde por la debida ejecución de los recursos públicos asignados al contrato y en este sentido, para el caso de contratos en curso con supervisor asignado, deberá evaluar la pertinencia de mantener o cambiar el supervisor designado. </w:t>
            </w:r>
            <w:r w:rsidRPr="00B908AA">
              <w:rPr>
                <w:rFonts w:ascii="Arial Narrow" w:hAnsi="Arial Narrow" w:cs="Garamond-Bold"/>
                <w:bCs/>
                <w:i/>
                <w:sz w:val="24"/>
                <w:szCs w:val="24"/>
              </w:rPr>
              <w:t xml:space="preserve">mente sería cesionario del contrato, asume la posición contractual del cedente dentro del contrato estatal y por lo tanto, las disposiciones, los pliegos de condiciones y el </w:t>
            </w:r>
            <w:r w:rsidR="00FB78B1" w:rsidRPr="00B908AA">
              <w:rPr>
                <w:rFonts w:ascii="Arial Narrow" w:hAnsi="Arial Narrow" w:cs="Garamond-Bold"/>
                <w:bCs/>
                <w:i/>
                <w:sz w:val="24"/>
                <w:szCs w:val="24"/>
              </w:rPr>
              <w:t>contrato mismo</w:t>
            </w:r>
            <w:r w:rsidRPr="00B908AA">
              <w:rPr>
                <w:rFonts w:ascii="Arial Narrow" w:hAnsi="Arial Narrow" w:cs="Garamond-Bold"/>
                <w:bCs/>
                <w:i/>
                <w:sz w:val="24"/>
                <w:szCs w:val="24"/>
              </w:rPr>
              <w:t xml:space="preserve"> serán aplicables a quien asuma la nueva posición contractual, porque implica que </w:t>
            </w:r>
            <w:r w:rsidRPr="00B908AA">
              <w:rPr>
                <w:rFonts w:ascii="Arial Narrow" w:hAnsi="Arial Narrow" w:cs="Garamond-Bold"/>
                <w:b/>
                <w:bCs/>
                <w:i/>
                <w:sz w:val="24"/>
                <w:szCs w:val="24"/>
              </w:rPr>
              <w:t xml:space="preserve">cumple con las mismas calidades que el contratista cedente. </w:t>
            </w:r>
            <w:r w:rsidRPr="00B908AA">
              <w:rPr>
                <w:rFonts w:ascii="Arial Narrow" w:hAnsi="Arial Narrow" w:cs="Garamond-Bold"/>
                <w:bCs/>
                <w:i/>
                <w:sz w:val="24"/>
                <w:szCs w:val="24"/>
              </w:rPr>
              <w:t xml:space="preserve">Por último, el cesionario debe contar con capacidad técnica, económica y financiera para cumplir con las obligaciones inherentes al objeto del contrato. Negrillas fuera del texto. </w:t>
            </w:r>
            <w:r w:rsidRPr="00B908AA">
              <w:rPr>
                <w:rFonts w:ascii="Arial Narrow" w:hAnsi="Arial Narrow" w:cs="Garamond-Bold"/>
                <w:bCs/>
                <w:sz w:val="24"/>
                <w:szCs w:val="24"/>
              </w:rPr>
              <w:t>Así las cosas, frente al caso concreto, el Fondo de Desarrollo Local para la autorización de la conformación del Consorcio, debe observar que, el nuevo integrante no solo cumpla con los requisitos mínimos habilitantes previstos en el Pliego de Condiciones, sino que este debe ajustarse a la totalidad de los parámetros de ponderación (experiencia adicional y económicos) que fueron allegados en la oferta inicialmente presentada por el proponente adjudicatario y que fueron objeto de calificación y asignación de puntaje durante el proceso de selección (…).</w:t>
            </w:r>
            <w:r w:rsidRPr="00B908AA">
              <w:rPr>
                <w:rFonts w:ascii="Arial Narrow" w:hAnsi="Arial Narrow" w:cs="Garamond-Bold"/>
                <w:bCs/>
                <w:i/>
                <w:sz w:val="24"/>
                <w:szCs w:val="24"/>
              </w:rPr>
              <w:t xml:space="preserve"> </w:t>
            </w:r>
            <w:r w:rsidRPr="00B908AA">
              <w:rPr>
                <w:rFonts w:ascii="Arial Narrow" w:hAnsi="Arial Narrow" w:cs="Garamond-Bold"/>
                <w:bCs/>
                <w:sz w:val="24"/>
                <w:szCs w:val="24"/>
              </w:rPr>
              <w:t xml:space="preserve">      </w:t>
            </w:r>
          </w:p>
        </w:tc>
      </w:tr>
      <w:tr w:rsidR="00B917A3" w:rsidRPr="00B908AA" w:rsidTr="00BD629A">
        <w:tc>
          <w:tcPr>
            <w:tcW w:w="2972" w:type="dxa"/>
          </w:tcPr>
          <w:p w:rsidR="00B917A3" w:rsidRPr="00B908AA" w:rsidRDefault="00B917A3" w:rsidP="00B917A3">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lastRenderedPageBreak/>
              <w:t>Fecha: 6-02-2018</w:t>
            </w:r>
          </w:p>
          <w:p w:rsidR="00B917A3" w:rsidRPr="00B908AA" w:rsidRDefault="00B917A3" w:rsidP="00B917A3">
            <w:pPr>
              <w:autoSpaceDE w:val="0"/>
              <w:autoSpaceDN w:val="0"/>
              <w:adjustRightInd w:val="0"/>
              <w:rPr>
                <w:rFonts w:ascii="Arial Narrow" w:hAnsi="Arial Narrow" w:cs="Garamond-Bold"/>
                <w:b/>
                <w:bCs/>
                <w:sz w:val="24"/>
                <w:szCs w:val="24"/>
              </w:rPr>
            </w:pPr>
          </w:p>
        </w:tc>
        <w:tc>
          <w:tcPr>
            <w:tcW w:w="5856" w:type="dxa"/>
          </w:tcPr>
          <w:p w:rsidR="00B917A3" w:rsidRPr="00B908AA" w:rsidRDefault="00B917A3" w:rsidP="00B917A3">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 Juan Sebastián Rivera Galvis. Director de Contratación (E) Secretaría Distrital de Gobierno.</w:t>
            </w:r>
          </w:p>
        </w:tc>
      </w:tr>
      <w:tr w:rsidR="005272A8" w:rsidRPr="00B908AA" w:rsidTr="00BD629A">
        <w:tc>
          <w:tcPr>
            <w:tcW w:w="2972" w:type="dxa"/>
          </w:tcPr>
          <w:p w:rsidR="005272A8" w:rsidRPr="00B908AA" w:rsidRDefault="005272A8" w:rsidP="005272A8">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 xml:space="preserve">TEMA: </w:t>
            </w:r>
            <w:bookmarkStart w:id="3" w:name="_Hlk515480000"/>
            <w:r w:rsidRPr="00B908AA">
              <w:rPr>
                <w:rFonts w:ascii="Arial Narrow" w:hAnsi="Arial Narrow" w:cs="Garamond-Bold"/>
                <w:b/>
                <w:bCs/>
                <w:sz w:val="24"/>
                <w:szCs w:val="24"/>
              </w:rPr>
              <w:t>EXPERIENCIA ADICIONAL Y/O FORMACIÓN ACADÉMICA DEL TALENTO HUMANO COMO FACTOR DE CALIFICACIÓN Y/O PONDERACIÓN EN PROCESOS DE LICITACIÓN PÚBLICA O SELECCIÓN ABREVIADA DE MENOR CUANTÍA</w:t>
            </w:r>
            <w:bookmarkEnd w:id="3"/>
          </w:p>
          <w:p w:rsidR="005272A8" w:rsidRPr="00B908AA" w:rsidRDefault="005272A8" w:rsidP="005272A8">
            <w:pPr>
              <w:autoSpaceDE w:val="0"/>
              <w:autoSpaceDN w:val="0"/>
              <w:adjustRightInd w:val="0"/>
              <w:rPr>
                <w:rFonts w:ascii="Arial Narrow" w:hAnsi="Arial Narrow" w:cs="Garamond-Bold"/>
                <w:b/>
                <w:bCs/>
                <w:sz w:val="24"/>
                <w:szCs w:val="24"/>
              </w:rPr>
            </w:pPr>
          </w:p>
        </w:tc>
        <w:tc>
          <w:tcPr>
            <w:tcW w:w="5856" w:type="dxa"/>
          </w:tcPr>
          <w:p w:rsidR="005272A8" w:rsidRPr="00B908AA" w:rsidRDefault="005272A8" w:rsidP="005272A8">
            <w:pPr>
              <w:autoSpaceDE w:val="0"/>
              <w:autoSpaceDN w:val="0"/>
              <w:adjustRightInd w:val="0"/>
              <w:jc w:val="center"/>
              <w:rPr>
                <w:rFonts w:ascii="Arial Narrow" w:hAnsi="Arial Narrow" w:cs="Garamond-Bold"/>
                <w:b/>
                <w:bCs/>
                <w:sz w:val="24"/>
                <w:szCs w:val="24"/>
              </w:rPr>
            </w:pPr>
          </w:p>
          <w:p w:rsidR="005272A8" w:rsidRPr="00B908AA" w:rsidRDefault="005272A8" w:rsidP="005272A8">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5272A8" w:rsidRPr="00B908AA" w:rsidTr="00BD629A">
        <w:tc>
          <w:tcPr>
            <w:tcW w:w="2972" w:type="dxa"/>
          </w:tcPr>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 </w:t>
            </w:r>
          </w:p>
        </w:tc>
        <w:tc>
          <w:tcPr>
            <w:tcW w:w="5856" w:type="dxa"/>
          </w:tcPr>
          <w:p w:rsidR="005272A8" w:rsidRPr="00B908AA" w:rsidRDefault="005272A8" w:rsidP="005272A8">
            <w:pPr>
              <w:jc w:val="both"/>
              <w:rPr>
                <w:rFonts w:ascii="Arial Narrow" w:hAnsi="Arial Narrow" w:cs="Garamond-Bold"/>
                <w:bCs/>
                <w:sz w:val="24"/>
                <w:szCs w:val="24"/>
              </w:rPr>
            </w:pPr>
            <w:r w:rsidRPr="00B908AA">
              <w:rPr>
                <w:rFonts w:ascii="Arial Narrow" w:hAnsi="Arial Narrow" w:cs="Garamond-Bold"/>
                <w:bCs/>
                <w:sz w:val="24"/>
                <w:szCs w:val="24"/>
              </w:rPr>
              <w:lastRenderedPageBreak/>
              <w:t>(…)</w:t>
            </w:r>
            <w:r w:rsidRPr="00B908AA">
              <w:rPr>
                <w:rFonts w:ascii="Arial Narrow" w:hAnsi="Arial Narrow" w:cs="Calibri"/>
                <w:color w:val="000000"/>
                <w:sz w:val="24"/>
                <w:szCs w:val="24"/>
                <w:lang w:val="es-MX" w:eastAsia="es-MX"/>
              </w:rPr>
              <w:t xml:space="preserve">3.- De acuerdo con las normas anteriores es totalmente claro que la orientación legal que rige en la actualidad la contratación estatal prohíbe incluir como criterios de evaluación o de </w:t>
            </w:r>
            <w:r w:rsidRPr="00B908AA">
              <w:rPr>
                <w:rFonts w:ascii="Arial Narrow" w:hAnsi="Arial Narrow" w:cs="Calibri"/>
                <w:color w:val="000000"/>
                <w:sz w:val="24"/>
                <w:szCs w:val="24"/>
                <w:lang w:val="es-MX" w:eastAsia="es-MX"/>
              </w:rPr>
              <w:lastRenderedPageBreak/>
              <w:t xml:space="preserve">ponderación factores relativos al PROPONENTE u OFERENTE.  La entidad debe determinar con qué tipo de proponente quiere contratar lo que implica determinar qué capacidad financiera debe tener, con qué experiencia debe contar, cuáles deben ser sus equipos y cuáles deben ser las condiciones del personal o &lt;&lt;talento humano&gt;&gt; que ejecutará el contrato.  Todo lo anterior debe incluirse como habilitación para celebrar el contrato:  solo quienes reúnan esos requisitos (habilitantes) pueden considerar por estimarse idóneos. Establecido lo anterior, la adjudicación debe hacerse teniendo en cuenta la </w:t>
            </w:r>
            <w:r w:rsidRPr="00B908AA">
              <w:rPr>
                <w:rFonts w:ascii="Arial Narrow" w:hAnsi="Arial Narrow" w:cs="Calibri"/>
                <w:i/>
                <w:color w:val="000000"/>
                <w:sz w:val="24"/>
                <w:szCs w:val="24"/>
                <w:lang w:val="es-MX" w:eastAsia="es-MX"/>
              </w:rPr>
              <w:t xml:space="preserve">mejor oferta </w:t>
            </w:r>
            <w:r w:rsidRPr="00B908AA">
              <w:rPr>
                <w:rFonts w:ascii="Arial Narrow" w:hAnsi="Arial Narrow" w:cs="Calibri"/>
                <w:color w:val="000000"/>
                <w:sz w:val="24"/>
                <w:szCs w:val="24"/>
                <w:lang w:val="es-MX" w:eastAsia="es-MX"/>
              </w:rPr>
              <w:t xml:space="preserve">en términos de </w:t>
            </w:r>
            <w:r w:rsidRPr="00B908AA">
              <w:rPr>
                <w:rFonts w:ascii="Arial Narrow" w:hAnsi="Arial Narrow" w:cs="Calibri"/>
                <w:i/>
                <w:color w:val="000000"/>
                <w:sz w:val="24"/>
                <w:szCs w:val="24"/>
                <w:lang w:val="es-MX" w:eastAsia="es-MX"/>
              </w:rPr>
              <w:t xml:space="preserve">calidad y de precio. </w:t>
            </w:r>
            <w:r w:rsidRPr="00B908AA">
              <w:rPr>
                <w:rFonts w:ascii="Arial Narrow" w:hAnsi="Arial Narrow" w:cs="Calibri"/>
                <w:color w:val="000000"/>
                <w:sz w:val="24"/>
                <w:szCs w:val="24"/>
                <w:lang w:val="es-MX" w:eastAsia="es-MX"/>
              </w:rPr>
              <w:t xml:space="preserve"> Y los factores técnicos y económicos deben referirse a ella.  El contrato debe adjudicarse a quien ofrezca realizar el objeto del contrato </w:t>
            </w:r>
            <w:r w:rsidRPr="00B908AA">
              <w:rPr>
                <w:rFonts w:ascii="Arial Narrow" w:hAnsi="Arial Narrow" w:cs="Calibri"/>
                <w:i/>
                <w:color w:val="000000"/>
                <w:sz w:val="24"/>
                <w:szCs w:val="24"/>
                <w:lang w:val="es-MX" w:eastAsia="es-MX"/>
              </w:rPr>
              <w:t xml:space="preserve">de mejor calidad </w:t>
            </w:r>
            <w:r w:rsidRPr="00B908AA">
              <w:rPr>
                <w:rFonts w:ascii="Arial Narrow" w:hAnsi="Arial Narrow" w:cs="Calibri"/>
                <w:color w:val="000000"/>
                <w:sz w:val="24"/>
                <w:szCs w:val="24"/>
                <w:lang w:val="es-MX" w:eastAsia="es-MX"/>
              </w:rPr>
              <w:t xml:space="preserve">(definiéndola) o por el menor precio.  Y la mejor </w:t>
            </w:r>
            <w:r w:rsidRPr="00B908AA">
              <w:rPr>
                <w:rFonts w:ascii="Arial Narrow" w:hAnsi="Arial Narrow" w:cs="Calibri"/>
                <w:i/>
                <w:color w:val="000000"/>
                <w:sz w:val="24"/>
                <w:szCs w:val="24"/>
                <w:lang w:val="es-MX" w:eastAsia="es-MX"/>
              </w:rPr>
              <w:t xml:space="preserve">calidad </w:t>
            </w:r>
            <w:r w:rsidRPr="00B908AA">
              <w:rPr>
                <w:rFonts w:ascii="Arial Narrow" w:hAnsi="Arial Narrow" w:cs="Calibri"/>
                <w:color w:val="000000"/>
                <w:sz w:val="24"/>
                <w:szCs w:val="24"/>
                <w:lang w:val="es-MX" w:eastAsia="es-MX"/>
              </w:rPr>
              <w:t xml:space="preserve">debe deducirse del objeto mismo:  no del equipo que va a realizarse. 4.- Lo que motivó al legislador para incluir esta reforma fue la consideración de que la competencia no debía hacerse sobre condiciones de los oferentes, porque ello generaba la posibilidad de orientar las licitaciones públicas hacia determinados proponentes:  los únicos que reunían tales condiciones.   El establecimiento de unas condiciones mínimas o básicas (requisitos habilitantes) debe permitir el ingreso a la licitación; y esos requisitos pueden ser completados en el curso del proceso. Al ingresar todos al proceso de selección, se debe escoger entre la mejor </w:t>
            </w:r>
            <w:r w:rsidRPr="00B908AA">
              <w:rPr>
                <w:rFonts w:ascii="Arial Narrow" w:hAnsi="Arial Narrow" w:cs="Calibri"/>
                <w:i/>
                <w:color w:val="000000"/>
                <w:sz w:val="24"/>
                <w:szCs w:val="24"/>
                <w:lang w:val="es-MX" w:eastAsia="es-MX"/>
              </w:rPr>
              <w:t xml:space="preserve">oferta </w:t>
            </w:r>
            <w:r w:rsidRPr="00B908AA">
              <w:rPr>
                <w:rFonts w:ascii="Arial Narrow" w:hAnsi="Arial Narrow" w:cs="Calibri"/>
                <w:color w:val="000000"/>
                <w:sz w:val="24"/>
                <w:szCs w:val="24"/>
                <w:lang w:val="es-MX" w:eastAsia="es-MX"/>
              </w:rPr>
              <w:t xml:space="preserve">(la de mejor precio o de mejor calidad) sin que factores relativos al </w:t>
            </w:r>
            <w:r w:rsidRPr="00B908AA">
              <w:rPr>
                <w:rFonts w:ascii="Arial Narrow" w:hAnsi="Arial Narrow" w:cs="Calibri"/>
                <w:i/>
                <w:color w:val="000000"/>
                <w:sz w:val="24"/>
                <w:szCs w:val="24"/>
                <w:lang w:val="es-MX" w:eastAsia="es-MX"/>
              </w:rPr>
              <w:t xml:space="preserve">oferente </w:t>
            </w:r>
            <w:r w:rsidRPr="00B908AA">
              <w:rPr>
                <w:rFonts w:ascii="Arial Narrow" w:hAnsi="Arial Narrow" w:cs="Calibri"/>
                <w:color w:val="000000"/>
                <w:sz w:val="24"/>
                <w:szCs w:val="24"/>
                <w:lang w:val="es-MX" w:eastAsia="es-MX"/>
              </w:rPr>
              <w:t xml:space="preserve">puedan tener alguna injerencia en esa escogencia. 5.- De conformidad con lo dispuesto en el artículo 5 de la ley 1150 de 2007, antes citado: a.-  La capacidad jurídica, la experiencia, capacidad financiera y de organización de los proponentes son requisitos habilitantes y no puede ser objeto de calificación.  Está prohibido asignar puntaje a la experiencia del proponente. </w:t>
            </w:r>
            <w:r w:rsidRPr="00B908AA">
              <w:rPr>
                <w:rFonts w:ascii="Arial Narrow" w:hAnsi="Arial Narrow" w:cs="Calibri"/>
                <w:color w:val="000000"/>
                <w:sz w:val="24"/>
                <w:szCs w:val="24"/>
                <w:lang w:eastAsia="es-MX"/>
              </w:rPr>
              <w:t xml:space="preserve">b.- Los criterios de calificación o evaluación deben estar referidos a </w:t>
            </w:r>
            <w:r w:rsidRPr="00B908AA">
              <w:rPr>
                <w:rFonts w:ascii="Arial Narrow" w:hAnsi="Arial Narrow" w:cs="Arial"/>
                <w:sz w:val="24"/>
                <w:szCs w:val="24"/>
              </w:rPr>
              <w:t>factores técnicos y económicos de</w:t>
            </w:r>
            <w:r w:rsidRPr="00B908AA">
              <w:rPr>
                <w:rFonts w:ascii="Arial Narrow" w:hAnsi="Arial Narrow" w:cs="Arial"/>
                <w:i/>
                <w:sz w:val="24"/>
                <w:szCs w:val="24"/>
              </w:rPr>
              <w:t xml:space="preserve"> la oferta </w:t>
            </w:r>
            <w:r w:rsidRPr="00B908AA">
              <w:rPr>
                <w:rFonts w:ascii="Arial Narrow" w:hAnsi="Arial Narrow" w:cs="Arial"/>
                <w:sz w:val="24"/>
                <w:szCs w:val="24"/>
              </w:rPr>
              <w:t xml:space="preserve">y deben ser definidos en los pliegos de condiciones. c.- Se introduce una excepción en los contratos de consultoría; allí será preponderante la evaluación de aspectos técnicos de la oferta y para esto se autoriza utilizar la experiencia del oferente como un criterio de selección.   En otros términos, en estos casos la competencia para la adjudicación del contrato sí puede hacerse sobre factores relativos al proponente. </w:t>
            </w:r>
            <w:r w:rsidRPr="00B908AA">
              <w:rPr>
                <w:rFonts w:ascii="Arial Narrow" w:hAnsi="Arial Narrow" w:cs="Calibri"/>
                <w:color w:val="000000"/>
                <w:sz w:val="24"/>
                <w:szCs w:val="24"/>
                <w:lang w:val="es-MX" w:eastAsia="es-MX"/>
              </w:rPr>
              <w:t xml:space="preserve">6.- La experiencia del proponente se deduce de la experiencia del equipo de trabajo que este ofrece poner al servicio del contrato:  y debe estar definida en el pliego como un </w:t>
            </w:r>
            <w:r w:rsidRPr="00B908AA">
              <w:rPr>
                <w:rFonts w:ascii="Arial Narrow" w:hAnsi="Arial Narrow" w:cs="Calibri"/>
                <w:i/>
                <w:color w:val="000000"/>
                <w:sz w:val="24"/>
                <w:szCs w:val="24"/>
                <w:lang w:val="es-MX" w:eastAsia="es-MX"/>
              </w:rPr>
              <w:t xml:space="preserve">requisito habilitante. </w:t>
            </w:r>
            <w:r w:rsidRPr="00B908AA">
              <w:rPr>
                <w:rFonts w:ascii="Arial Narrow" w:hAnsi="Arial Narrow" w:cs="Calibri"/>
                <w:color w:val="000000" w:themeColor="text1"/>
                <w:sz w:val="24"/>
                <w:szCs w:val="24"/>
                <w:lang w:val="es-MX" w:eastAsia="es-MX"/>
              </w:rPr>
              <w:t>7</w:t>
            </w:r>
            <w:r w:rsidRPr="00B908AA">
              <w:rPr>
                <w:rFonts w:ascii="Arial Narrow" w:hAnsi="Arial Narrow" w:cs="Calibri"/>
                <w:color w:val="000000" w:themeColor="text1"/>
                <w:sz w:val="24"/>
                <w:szCs w:val="24"/>
                <w:lang w:eastAsia="es-MX"/>
              </w:rPr>
              <w:t xml:space="preserve">- El </w:t>
            </w:r>
            <w:r w:rsidRPr="00B908AA">
              <w:rPr>
                <w:rFonts w:ascii="Arial Narrow" w:hAnsi="Arial Narrow" w:cs="Calibri"/>
                <w:color w:val="000000"/>
                <w:sz w:val="24"/>
                <w:szCs w:val="24"/>
                <w:lang w:eastAsia="es-MX"/>
              </w:rPr>
              <w:t xml:space="preserve">Consejo de Estado se ha referido la diferencia entre factores habilitantes y de ponderación que los primeros se refieren al proponente y los segundos a la oferta y esta diferencia no permite afirmar que sea posible otorgar puntaje al equipo de trabajo propuesto. </w:t>
            </w:r>
            <w:r w:rsidRPr="00B908AA">
              <w:rPr>
                <w:rFonts w:ascii="Arial Narrow" w:hAnsi="Arial Narrow"/>
                <w:sz w:val="24"/>
                <w:szCs w:val="24"/>
              </w:rPr>
              <w:t>“</w:t>
            </w:r>
            <w:r w:rsidRPr="00B908AA">
              <w:rPr>
                <w:rFonts w:ascii="Arial Narrow" w:hAnsi="Arial Narrow"/>
                <w:b/>
                <w:bCs/>
                <w:i/>
                <w:iCs/>
                <w:sz w:val="24"/>
                <w:szCs w:val="24"/>
                <w:lang w:val="es-ES"/>
              </w:rPr>
              <w:t>3</w:t>
            </w:r>
            <w:r w:rsidRPr="00B908AA">
              <w:rPr>
                <w:rFonts w:ascii="Arial Narrow" w:hAnsi="Arial Narrow"/>
                <w:b/>
                <w:bCs/>
                <w:i/>
                <w:iCs/>
                <w:sz w:val="24"/>
                <w:szCs w:val="24"/>
              </w:rPr>
              <w:t xml:space="preserve">. La diferenciación </w:t>
            </w:r>
            <w:r w:rsidRPr="00B908AA">
              <w:rPr>
                <w:rFonts w:ascii="Arial Narrow" w:hAnsi="Arial Narrow"/>
                <w:b/>
                <w:bCs/>
                <w:i/>
                <w:iCs/>
                <w:sz w:val="24"/>
                <w:szCs w:val="24"/>
              </w:rPr>
              <w:lastRenderedPageBreak/>
              <w:t>entre las condiciones relativas al proponente y los elementos relativos a la oferta</w:t>
            </w:r>
            <w:r w:rsidRPr="00B908AA">
              <w:rPr>
                <w:rFonts w:ascii="Arial Narrow" w:hAnsi="Arial Narrow"/>
                <w:sz w:val="24"/>
                <w:szCs w:val="24"/>
              </w:rPr>
              <w:t xml:space="preserve">.- El primero de los cambios indicados en el punto anterior consiste en la diferenciación entre las condiciones habilitantes o relativas al proponente y los elementos del negocio jurídico contenidos en las ofertas o propuestas; diferenciación que se encuentra en las reglas relativas a la manera como debe hacerse la selección objetiva por parte de la entidad licitante, y en especial en el artículo 5° de la ley 1150 de 2007, el cual derogó el 29 de la ley 80 de 1993. Dice la norma vigente, en lo pertinente para este concepto: </w:t>
            </w:r>
            <w:r w:rsidRPr="00B908AA">
              <w:rPr>
                <w:rFonts w:ascii="Arial Narrow" w:hAnsi="Arial Narrow"/>
                <w:sz w:val="24"/>
                <w:szCs w:val="24"/>
                <w:lang w:val="es-ES"/>
              </w:rPr>
              <w:t>“</w:t>
            </w:r>
            <w:r w:rsidRPr="00B908AA">
              <w:rPr>
                <w:rFonts w:ascii="Arial Narrow" w:hAnsi="Arial Narrow"/>
                <w:b/>
                <w:bCs/>
                <w:i/>
                <w:iCs/>
                <w:sz w:val="24"/>
                <w:szCs w:val="24"/>
                <w:lang w:val="es-ES"/>
              </w:rPr>
              <w:t>Artículo 5. De la selección objetiva</w:t>
            </w:r>
            <w:r w:rsidRPr="00B908AA">
              <w:rPr>
                <w:rFonts w:ascii="Arial Narrow" w:hAnsi="Arial Narrow"/>
                <w:i/>
                <w:iCs/>
                <w:sz w:val="24"/>
                <w:szCs w:val="24"/>
                <w:lang w:val="es-ES"/>
              </w:rPr>
              <w:t xml:space="preserve">. (…) </w:t>
            </w:r>
            <w:r w:rsidRPr="00B908AA">
              <w:rPr>
                <w:rFonts w:ascii="Arial Narrow" w:hAnsi="Arial Narrow"/>
                <w:sz w:val="24"/>
                <w:szCs w:val="24"/>
              </w:rPr>
              <w:t>“</w:t>
            </w:r>
            <w:r w:rsidRPr="00B908AA">
              <w:rPr>
                <w:rFonts w:ascii="Arial Narrow" w:hAnsi="Arial Narrow"/>
                <w:sz w:val="24"/>
                <w:szCs w:val="24"/>
                <w:lang w:val="es-ES"/>
              </w:rPr>
              <w:t xml:space="preserve">De las normas transcritas, y en cuanto es relevante para el concepto, destaca la Sala que los factores como la experiencia y la capacidad financiera, jurídica y de organización de los proponentes se definen como “requisitos habilitantes” que no otorgan puntaje, </w:t>
            </w:r>
            <w:r w:rsidR="00FB78B1" w:rsidRPr="00B908AA">
              <w:rPr>
                <w:rFonts w:ascii="Arial Narrow" w:hAnsi="Arial Narrow"/>
                <w:sz w:val="24"/>
                <w:szCs w:val="24"/>
                <w:lang w:val="es-ES"/>
              </w:rPr>
              <w:t>y,</w:t>
            </w:r>
            <w:r w:rsidRPr="00B908AA">
              <w:rPr>
                <w:rFonts w:ascii="Arial Narrow" w:hAnsi="Arial Narrow"/>
                <w:sz w:val="24"/>
                <w:szCs w:val="24"/>
                <w:lang w:val="es-ES"/>
              </w:rPr>
              <w:t xml:space="preserve"> por tanto, deben considerarse bajo el criterio de admisión o rechazo, los cuales sólo son susceptibles de verificación por la Cámara de Comercio. La norma transcrita radica esta etapa de la selección objetiva en las Cámaras, las cuales deben hacerla de forma general de manera que sirva para cualquier licitación, y como se verá más adelante, hay varias excepciones, en las que las mismas entidades licitantes deben hacer esta verificación, siendo una de ellas el contrato de consultoría, con el fin de valorar la experiencia específica del proponente y del equipo de trabajo. Los requisitos habilitantes que son materia de verificación deben ser tomados por la entidad licitante del registro único de proponentes, y ser adecuados y proporcionales a la naturaleza del contrato que se suscribirá y a su valor, lo que significa que no es ajustado a derecho exigir condiciones distintas de aquellas que resulten necesarias para cumplir con el objeto del contrato. </w:t>
            </w:r>
            <w:r w:rsidRPr="00B908AA">
              <w:rPr>
                <w:rFonts w:ascii="Arial Narrow" w:hAnsi="Arial Narrow"/>
                <w:b/>
                <w:sz w:val="24"/>
                <w:szCs w:val="24"/>
                <w:lang w:val="es-ES"/>
              </w:rPr>
              <w:t xml:space="preserve">Las condiciones del oferente son las que le permiten participar en el proceso, bajo el entendido de que son las exigencias básicas o mínimas que debe tener para cumplir con el contrato proyectado.  Esta fue la intención del proyecto de ley 20 Senado de 2005, que se convirtió en la  ley 1150 de 2007, de acuerdo con la exposición de motivos presentada por los Ministerios del Interior y de Justicia y de Transporte, en la que sostuvieron, respecto del artículo 5 en comento, lo siguiente: </w:t>
            </w:r>
            <w:r w:rsidRPr="00B908AA">
              <w:rPr>
                <w:rFonts w:ascii="Arial Narrow" w:hAnsi="Arial Narrow"/>
                <w:b/>
                <w:i/>
                <w:iCs/>
                <w:sz w:val="24"/>
                <w:szCs w:val="24"/>
                <w:lang w:val="es-ES"/>
              </w:rPr>
              <w:t xml:space="preserve">“En el artículo 5º y como complemento al rediseño de las modalidades de selección, se propone una nueva redacción y contenido para el deber de selección objetiva que tiene como objetivo principal la depuración de los factores de escogencia en los procesos de selección, </w:t>
            </w:r>
            <w:r w:rsidRPr="00B908AA">
              <w:rPr>
                <w:rFonts w:ascii="Arial Narrow" w:hAnsi="Arial Narrow"/>
                <w:b/>
                <w:i/>
                <w:iCs/>
                <w:sz w:val="24"/>
                <w:szCs w:val="24"/>
                <w:u w:val="single"/>
                <w:lang w:val="es-ES"/>
              </w:rPr>
              <w:t>de tal manera que se privilegien las condiciones técnicas y económicas de la oferta, y la valoración de las ofertas se concentre en dichos aspectos.</w:t>
            </w:r>
            <w:r w:rsidRPr="00B908AA">
              <w:rPr>
                <w:rFonts w:ascii="Arial Narrow" w:hAnsi="Arial Narrow"/>
                <w:b/>
                <w:i/>
                <w:iCs/>
                <w:sz w:val="24"/>
                <w:szCs w:val="24"/>
                <w:lang w:val="es-ES"/>
              </w:rPr>
              <w:t xml:space="preserve"> Las condiciones del oferente referidas a su </w:t>
            </w:r>
            <w:r w:rsidRPr="00B908AA">
              <w:rPr>
                <w:rFonts w:ascii="Arial Narrow" w:hAnsi="Arial Narrow"/>
                <w:b/>
                <w:i/>
                <w:iCs/>
                <w:sz w:val="24"/>
                <w:szCs w:val="24"/>
                <w:u w:val="single"/>
                <w:lang w:val="es-ES"/>
              </w:rPr>
              <w:t xml:space="preserve">capacidad </w:t>
            </w:r>
            <w:r w:rsidRPr="00B908AA">
              <w:rPr>
                <w:rFonts w:ascii="Arial Narrow" w:hAnsi="Arial Narrow"/>
                <w:b/>
                <w:i/>
                <w:iCs/>
                <w:sz w:val="24"/>
                <w:szCs w:val="24"/>
                <w:u w:val="single"/>
                <w:lang w:val="es-ES"/>
              </w:rPr>
              <w:lastRenderedPageBreak/>
              <w:t>administrativa y financiera, así como a su experiencia, no podrán ser utilizadas para darle un mayor puntaje</w:t>
            </w:r>
            <w:r w:rsidRPr="00B908AA">
              <w:rPr>
                <w:rFonts w:ascii="Arial Narrow" w:hAnsi="Arial Narrow"/>
                <w:b/>
                <w:i/>
                <w:iCs/>
                <w:sz w:val="24"/>
                <w:szCs w:val="24"/>
                <w:lang w:val="es-ES"/>
              </w:rPr>
              <w:t xml:space="preserve">. Serán simplemente factores habilitadores para la participación en un determinado proceso de selección, con lo cual se limitará la posibilidad de diseñar procesos “a la medida” de proponentes determinados. La única excepción a este criterio está constituida por la selección de consultores, en la que se reconoce la posibilidad de valorar la formación y experiencia del proponente, en razón al alto contenido intelectual que requiere el desarrollo de tales contratos”. </w:t>
            </w:r>
            <w:r w:rsidRPr="00B908AA">
              <w:rPr>
                <w:rFonts w:ascii="Arial Narrow" w:hAnsi="Arial Narrow"/>
                <w:b/>
                <w:sz w:val="24"/>
                <w:szCs w:val="24"/>
                <w:u w:val="single"/>
                <w:lang w:val="es-ES"/>
              </w:rPr>
              <w:t xml:space="preserve">Por otra parte, los factores de calificación se deben aplicar exclusivamente en función de la oferta, entendida como los elementos del negocio jurídico sobre los cuales la entidad licitante va a efectuar la comparación de las propuestas para obtener la más favorable, teniendo en cuenta los elementos técnicos y económicos de escogencia y la ponderación precisa y detallada de los mismos, contenidos en los pliegos de condiciones.  </w:t>
            </w:r>
            <w:r w:rsidRPr="00B908AA">
              <w:rPr>
                <w:rFonts w:ascii="Arial Narrow" w:hAnsi="Arial Narrow"/>
                <w:sz w:val="24"/>
                <w:szCs w:val="24"/>
              </w:rPr>
              <w:t xml:space="preserve">El artículo 5° de la ley 1150 de 2007 privilegia las condiciones técnicas y económicas de la oferta, señalando que ofrecimiento más favorable es aquel que teniendo en cuenta dichos factores de escogencia y </w:t>
            </w:r>
            <w:r w:rsidRPr="00B908AA">
              <w:rPr>
                <w:rFonts w:ascii="Arial Narrow" w:hAnsi="Arial Narrow"/>
                <w:i/>
                <w:iCs/>
                <w:sz w:val="24"/>
                <w:szCs w:val="24"/>
              </w:rPr>
              <w:t xml:space="preserve">“la ponderación precisa, detallada y concreta de los mismos”, </w:t>
            </w:r>
            <w:r w:rsidRPr="00B908AA">
              <w:rPr>
                <w:rFonts w:ascii="Arial Narrow" w:hAnsi="Arial Narrow"/>
                <w:sz w:val="24"/>
                <w:szCs w:val="24"/>
                <w:lang w:val="es-ES_tradnl"/>
              </w:rPr>
              <w:t xml:space="preserve">es decir, el peso o valor exacto que tendrá cada uno de los mismos en la calificación total de la propuesta, </w:t>
            </w:r>
            <w:r w:rsidRPr="00B908AA">
              <w:rPr>
                <w:rFonts w:ascii="Arial Narrow" w:hAnsi="Arial Narrow"/>
                <w:i/>
                <w:iCs/>
                <w:sz w:val="24"/>
                <w:szCs w:val="24"/>
              </w:rPr>
              <w:t>“contenida en los pliegos de condiciones o sus equivalentes, resulta ser el más ventajoso para la entidad, sin que la favorabilidad la constituyan factores diferentes a los contenidos en dichos documentos”</w:t>
            </w:r>
            <w:r w:rsidRPr="00B908AA">
              <w:rPr>
                <w:rFonts w:ascii="Arial Narrow" w:hAnsi="Arial Narrow"/>
                <w:sz w:val="24"/>
                <w:szCs w:val="24"/>
              </w:rPr>
              <w:t>. Estos elementos deben ser ponderados por la entidad licitante respecto de aquellos proponentes hábiles, esto es, sólo a aquellos que en la verificación de los requisitos habilitantes demostraron tener los requisitos necesarios para celebrar el contrato. </w:t>
            </w:r>
            <w:r w:rsidRPr="00B908AA">
              <w:rPr>
                <w:rFonts w:ascii="Arial Narrow" w:hAnsi="Arial Narrow"/>
                <w:sz w:val="24"/>
                <w:szCs w:val="24"/>
                <w:lang w:val="es-ES"/>
              </w:rPr>
              <w:t xml:space="preserve">Los certificados de gestión de calidad no se pueden solicitar a los proponentes, ni como requisito habilitante para participar en los procesos de selección, ni para otorgar puntaje. </w:t>
            </w:r>
            <w:r w:rsidRPr="00B908AA">
              <w:rPr>
                <w:rFonts w:ascii="Arial Narrow" w:hAnsi="Arial Narrow"/>
                <w:b/>
                <w:sz w:val="24"/>
                <w:szCs w:val="24"/>
                <w:lang w:val="es-ES"/>
              </w:rPr>
              <w:t xml:space="preserve">Como se observa la norma distingue entre las condiciones del proponente necesarias para participar en la licitación, llamándolas requisitos habilitantes, que dan lugar a verificación, y los criterios propios del objeto del contrato que son materia de evaluación, en donde se privilegian los factores técnicos y económicos sujetos a comparación y puntuación.” </w:t>
            </w:r>
            <w:r w:rsidRPr="00B908AA">
              <w:rPr>
                <w:rStyle w:val="Refdenotaalpie"/>
                <w:rFonts w:ascii="Arial Narrow" w:hAnsi="Arial Narrow"/>
                <w:b/>
                <w:sz w:val="24"/>
                <w:szCs w:val="24"/>
                <w:lang w:val="es-ES"/>
              </w:rPr>
              <w:footnoteReference w:id="5"/>
            </w:r>
            <w:r w:rsidRPr="00B908AA">
              <w:rPr>
                <w:rFonts w:ascii="Arial Narrow" w:hAnsi="Arial Narrow"/>
                <w:b/>
                <w:sz w:val="24"/>
                <w:szCs w:val="24"/>
                <w:lang w:val="es-ES"/>
              </w:rPr>
              <w:t xml:space="preserve"> </w:t>
            </w:r>
            <w:r w:rsidRPr="00B908AA">
              <w:rPr>
                <w:rFonts w:ascii="Arial Narrow" w:hAnsi="Arial Narrow"/>
                <w:sz w:val="24"/>
                <w:szCs w:val="24"/>
              </w:rPr>
              <w:t xml:space="preserve">8.-  Como lo advierte la sentencia antes citada, la </w:t>
            </w:r>
            <w:r w:rsidRPr="00B908AA">
              <w:rPr>
                <w:rFonts w:ascii="Arial Narrow" w:hAnsi="Arial Narrow"/>
                <w:sz w:val="24"/>
                <w:szCs w:val="24"/>
              </w:rPr>
              <w:lastRenderedPageBreak/>
              <w:t>modificación introducida por la ley 1150 de 2007, consistió en establecer como criterios de evaluación los “</w:t>
            </w:r>
            <w:r w:rsidRPr="00B908AA">
              <w:rPr>
                <w:rFonts w:ascii="Arial Narrow" w:hAnsi="Arial Narrow" w:cs="Arial"/>
                <w:sz w:val="24"/>
                <w:szCs w:val="24"/>
              </w:rPr>
              <w:t xml:space="preserve">factores técnicos y económicos” de </w:t>
            </w:r>
            <w:r w:rsidRPr="00B908AA">
              <w:rPr>
                <w:rFonts w:ascii="Arial Narrow" w:hAnsi="Arial Narrow" w:cs="Arial"/>
                <w:b/>
                <w:sz w:val="24"/>
                <w:szCs w:val="24"/>
              </w:rPr>
              <w:t>la propuesta</w:t>
            </w:r>
            <w:r w:rsidRPr="00B908AA">
              <w:rPr>
                <w:rFonts w:ascii="Arial Narrow" w:hAnsi="Arial Narrow" w:cs="Arial"/>
                <w:sz w:val="24"/>
                <w:szCs w:val="24"/>
              </w:rPr>
              <w:t xml:space="preserve"> (numeral 2 del artículo 5) y como criterios de habilitación la “capacidad jurídica y las condiciones de experiencia, capacidad financiera y de organización de los </w:t>
            </w:r>
            <w:r w:rsidRPr="00B908AA">
              <w:rPr>
                <w:rFonts w:ascii="Arial Narrow" w:hAnsi="Arial Narrow" w:cs="Arial"/>
                <w:b/>
                <w:sz w:val="24"/>
                <w:szCs w:val="24"/>
              </w:rPr>
              <w:t>proponentes</w:t>
            </w:r>
            <w:r w:rsidRPr="00B908AA">
              <w:rPr>
                <w:rFonts w:ascii="Arial Narrow" w:hAnsi="Arial Narrow" w:cs="Arial"/>
                <w:sz w:val="24"/>
                <w:szCs w:val="24"/>
              </w:rPr>
              <w:t>”. Más adelante, el artículo 88 de la ley 1474 de 2011 adicionó el numeral segundo del artículo 5 de la ley 1150 de 2007, para establecer cómo debía realizarse la valoración de los “</w:t>
            </w:r>
            <w:r w:rsidRPr="00B908AA">
              <w:rPr>
                <w:rFonts w:ascii="Arial Narrow" w:hAnsi="Arial Narrow"/>
                <w:sz w:val="24"/>
                <w:szCs w:val="24"/>
              </w:rPr>
              <w:t xml:space="preserve">factores técnicos y económicos”, la cual sebe hacerse mediante: i) La ponderación de los elementos </w:t>
            </w:r>
            <w:r w:rsidRPr="00B908AA">
              <w:rPr>
                <w:rFonts w:ascii="Arial Narrow" w:hAnsi="Arial Narrow"/>
                <w:b/>
                <w:sz w:val="24"/>
                <w:szCs w:val="24"/>
              </w:rPr>
              <w:t>de calidad y precio</w:t>
            </w:r>
            <w:r w:rsidRPr="00B908AA">
              <w:rPr>
                <w:rFonts w:ascii="Arial Narrow" w:hAnsi="Arial Narrow"/>
                <w:sz w:val="24"/>
                <w:szCs w:val="24"/>
              </w:rPr>
              <w:t xml:space="preserve"> soportados en puntajes o fórmulas y ii) La ponderación de los elementos de calidad y precio que representen la mejor relación de costo-beneficio para la entidad.  Lo que debe precisarse es que los factores técnicos se predican de la </w:t>
            </w:r>
            <w:r w:rsidRPr="00B908AA">
              <w:rPr>
                <w:rFonts w:ascii="Arial Narrow" w:hAnsi="Arial Narrow"/>
                <w:i/>
                <w:sz w:val="24"/>
                <w:szCs w:val="24"/>
              </w:rPr>
              <w:t xml:space="preserve">oferta o del ofrecimiento </w:t>
            </w:r>
            <w:r w:rsidRPr="00B908AA">
              <w:rPr>
                <w:rFonts w:ascii="Arial Narrow" w:hAnsi="Arial Narrow"/>
                <w:sz w:val="24"/>
                <w:szCs w:val="24"/>
              </w:rPr>
              <w:t xml:space="preserve">y no del </w:t>
            </w:r>
            <w:r w:rsidRPr="00B908AA">
              <w:rPr>
                <w:rFonts w:ascii="Arial Narrow" w:hAnsi="Arial Narrow"/>
                <w:i/>
                <w:sz w:val="24"/>
                <w:szCs w:val="24"/>
              </w:rPr>
              <w:t xml:space="preserve">proponente </w:t>
            </w:r>
            <w:r w:rsidRPr="00B908AA">
              <w:rPr>
                <w:rFonts w:ascii="Arial Narrow" w:hAnsi="Arial Narrow"/>
                <w:sz w:val="24"/>
                <w:szCs w:val="24"/>
              </w:rPr>
              <w:t xml:space="preserve">para deducir que, dentro de los mismos no puede entenderse incluida la experiencia del talento humano o el equipo de trabajo ofrecido por el éste en su oferta. Desde el punto de vista gramatical, técnica es el </w:t>
            </w:r>
            <w:r w:rsidRPr="00B908AA">
              <w:rPr>
                <w:rStyle w:val="nacep"/>
                <w:rFonts w:ascii="Arial Narrow" w:hAnsi="Arial Narrow"/>
                <w:sz w:val="24"/>
                <w:szCs w:val="24"/>
              </w:rPr>
              <w:t>“</w:t>
            </w:r>
            <w:r w:rsidRPr="00B908AA">
              <w:rPr>
                <w:rFonts w:ascii="Arial Narrow" w:hAnsi="Arial Narrow"/>
                <w:sz w:val="24"/>
                <w:szCs w:val="24"/>
              </w:rPr>
              <w:t xml:space="preserve">conjunto de procedimientos y recursos de que se sirve una ciencia o un arte”, la “pericia o habilidad para usar una </w:t>
            </w:r>
            <w:r w:rsidRPr="00B908AA">
              <w:rPr>
                <w:rStyle w:val="u"/>
                <w:rFonts w:ascii="Arial Narrow" w:hAnsi="Arial Narrow"/>
                <w:sz w:val="24"/>
                <w:szCs w:val="24"/>
              </w:rPr>
              <w:t xml:space="preserve">técnica” o la </w:t>
            </w:r>
            <w:r w:rsidRPr="00B908AA">
              <w:rPr>
                <w:rStyle w:val="nacep"/>
                <w:rFonts w:ascii="Arial Narrow" w:hAnsi="Arial Narrow"/>
                <w:sz w:val="24"/>
                <w:szCs w:val="24"/>
              </w:rPr>
              <w:t>“h</w:t>
            </w:r>
            <w:r w:rsidRPr="00B908AA">
              <w:rPr>
                <w:rFonts w:ascii="Arial Narrow" w:hAnsi="Arial Narrow"/>
                <w:sz w:val="24"/>
                <w:szCs w:val="24"/>
              </w:rPr>
              <w:t>abilidad para ejecutar cualquier cosa, o para conseguir algo”.</w:t>
            </w:r>
            <w:r w:rsidRPr="00B908AA">
              <w:rPr>
                <w:rStyle w:val="Refdenotaalpie"/>
                <w:rFonts w:ascii="Arial Narrow" w:hAnsi="Arial Narrow"/>
                <w:sz w:val="24"/>
                <w:szCs w:val="24"/>
              </w:rPr>
              <w:footnoteReference w:id="6"/>
            </w:r>
            <w:r w:rsidRPr="00B908AA">
              <w:rPr>
                <w:rFonts w:ascii="Arial Narrow" w:hAnsi="Arial Narrow"/>
                <w:sz w:val="24"/>
                <w:szCs w:val="24"/>
              </w:rPr>
              <w:t xml:space="preserve"> La técnica es el “</w:t>
            </w:r>
            <w:r w:rsidRPr="00B908AA">
              <w:rPr>
                <w:rStyle w:val="Textoennegrita"/>
                <w:rFonts w:ascii="Arial Narrow" w:hAnsi="Arial Narrow"/>
                <w:sz w:val="24"/>
                <w:szCs w:val="24"/>
              </w:rPr>
              <w:t>conjunto de procedimientos reglamentados y pautas</w:t>
            </w:r>
            <w:r w:rsidRPr="00B908AA">
              <w:rPr>
                <w:rFonts w:ascii="Arial Narrow" w:hAnsi="Arial Narrow"/>
                <w:sz w:val="24"/>
                <w:szCs w:val="24"/>
              </w:rPr>
              <w:t xml:space="preserve"> que se utiliza como </w:t>
            </w:r>
            <w:r w:rsidRPr="00B908AA">
              <w:rPr>
                <w:rStyle w:val="Textoennegrita"/>
                <w:rFonts w:ascii="Arial Narrow" w:hAnsi="Arial Narrow"/>
                <w:sz w:val="24"/>
                <w:szCs w:val="24"/>
              </w:rPr>
              <w:t>medio</w:t>
            </w:r>
            <w:r w:rsidRPr="00B908AA">
              <w:rPr>
                <w:rFonts w:ascii="Arial Narrow" w:hAnsi="Arial Narrow"/>
                <w:sz w:val="24"/>
                <w:szCs w:val="24"/>
              </w:rPr>
              <w:t xml:space="preserve"> para llegar a un cierto </w:t>
            </w:r>
            <w:r w:rsidRPr="00B908AA">
              <w:rPr>
                <w:rStyle w:val="Textoennegrita"/>
                <w:rFonts w:ascii="Arial Narrow" w:hAnsi="Arial Narrow"/>
                <w:sz w:val="24"/>
                <w:szCs w:val="24"/>
              </w:rPr>
              <w:t>fin</w:t>
            </w:r>
            <w:r w:rsidRPr="00B908AA">
              <w:rPr>
                <w:rFonts w:ascii="Arial Narrow" w:hAnsi="Arial Narrow"/>
                <w:sz w:val="24"/>
                <w:szCs w:val="24"/>
              </w:rPr>
              <w:t xml:space="preserve">” y esta supone “el uso de herramientas y conocimientos muy variados, que pueden ser tanto </w:t>
            </w:r>
            <w:r w:rsidRPr="00B908AA">
              <w:rPr>
                <w:rFonts w:ascii="Arial Narrow" w:hAnsi="Arial Narrow"/>
                <w:b/>
                <w:bCs/>
                <w:sz w:val="24"/>
                <w:szCs w:val="24"/>
              </w:rPr>
              <w:t>físicos</w:t>
            </w:r>
            <w:r w:rsidRPr="00B908AA">
              <w:rPr>
                <w:rFonts w:ascii="Arial Narrow" w:hAnsi="Arial Narrow"/>
                <w:sz w:val="24"/>
                <w:szCs w:val="24"/>
              </w:rPr>
              <w:t xml:space="preserve"> como </w:t>
            </w:r>
            <w:r w:rsidRPr="00B908AA">
              <w:rPr>
                <w:rFonts w:ascii="Arial Narrow" w:hAnsi="Arial Narrow"/>
                <w:b/>
                <w:bCs/>
                <w:sz w:val="24"/>
                <w:szCs w:val="24"/>
              </w:rPr>
              <w:t>intelectuales</w:t>
            </w:r>
            <w:r w:rsidRPr="00B908AA">
              <w:rPr>
                <w:rFonts w:ascii="Arial Narrow" w:hAnsi="Arial Narrow"/>
                <w:sz w:val="24"/>
                <w:szCs w:val="24"/>
              </w:rPr>
              <w:t>”</w:t>
            </w:r>
            <w:r w:rsidRPr="00B908AA">
              <w:rPr>
                <w:rStyle w:val="Refdenotaalpie"/>
                <w:rFonts w:ascii="Arial Narrow" w:hAnsi="Arial Narrow"/>
                <w:sz w:val="24"/>
                <w:szCs w:val="24"/>
              </w:rPr>
              <w:footnoteReference w:id="7"/>
            </w:r>
            <w:r w:rsidRPr="00B908AA">
              <w:rPr>
                <w:rFonts w:ascii="Arial Narrow" w:hAnsi="Arial Narrow"/>
                <w:sz w:val="24"/>
                <w:szCs w:val="24"/>
              </w:rPr>
              <w:t xml:space="preserve"> La valoración de factores técnicos implica entonces valorar aspectos de la </w:t>
            </w:r>
            <w:r w:rsidRPr="00B908AA">
              <w:rPr>
                <w:rFonts w:ascii="Arial Narrow" w:hAnsi="Arial Narrow"/>
                <w:i/>
                <w:sz w:val="24"/>
                <w:szCs w:val="24"/>
              </w:rPr>
              <w:t xml:space="preserve">oferta </w:t>
            </w:r>
            <w:r w:rsidRPr="00B908AA">
              <w:rPr>
                <w:rFonts w:ascii="Arial Narrow" w:hAnsi="Arial Narrow"/>
                <w:sz w:val="24"/>
                <w:szCs w:val="24"/>
              </w:rPr>
              <w:t xml:space="preserve">del método como pretende desarrollarse el objeto del contrato; se refieren a </w:t>
            </w:r>
            <w:r w:rsidRPr="00B908AA">
              <w:rPr>
                <w:rFonts w:ascii="Arial Narrow" w:hAnsi="Arial Narrow"/>
                <w:i/>
                <w:sz w:val="24"/>
                <w:szCs w:val="24"/>
              </w:rPr>
              <w:t xml:space="preserve">cómo </w:t>
            </w:r>
            <w:r w:rsidRPr="00B908AA">
              <w:rPr>
                <w:rFonts w:ascii="Arial Narrow" w:hAnsi="Arial Narrow"/>
                <w:sz w:val="24"/>
                <w:szCs w:val="24"/>
              </w:rPr>
              <w:t xml:space="preserve">se desarrollará el mismo y no a </w:t>
            </w:r>
            <w:r w:rsidRPr="00B908AA">
              <w:rPr>
                <w:rFonts w:ascii="Arial Narrow" w:hAnsi="Arial Narrow"/>
                <w:i/>
                <w:sz w:val="24"/>
                <w:szCs w:val="24"/>
              </w:rPr>
              <w:t xml:space="preserve">quién </w:t>
            </w:r>
            <w:r w:rsidRPr="00B908AA">
              <w:rPr>
                <w:rFonts w:ascii="Arial Narrow" w:hAnsi="Arial Narrow"/>
                <w:sz w:val="24"/>
                <w:szCs w:val="24"/>
              </w:rPr>
              <w:t xml:space="preserve">lo ejecutará. Así las cosas, parece claro que el equipo humano que se ofrezca emplear en la ejecución del contrato no puede ser objeto de evaluación, lo que debe determinarse según el objeto del contrato. </w:t>
            </w:r>
            <w:r w:rsidRPr="00B908AA">
              <w:rPr>
                <w:rStyle w:val="l"/>
                <w:rFonts w:ascii="Arial Narrow" w:hAnsi="Arial Narrow"/>
                <w:sz w:val="24"/>
                <w:szCs w:val="24"/>
              </w:rPr>
              <w:t xml:space="preserve">Nótese, por último, que lo que evidencia con mayor claridad que la experiencia </w:t>
            </w:r>
            <w:r w:rsidRPr="00B908AA">
              <w:rPr>
                <w:rStyle w:val="l"/>
                <w:rFonts w:ascii="Arial Narrow" w:hAnsi="Arial Narrow"/>
                <w:i/>
                <w:sz w:val="24"/>
                <w:szCs w:val="24"/>
              </w:rPr>
              <w:t xml:space="preserve">adicional </w:t>
            </w:r>
            <w:r w:rsidRPr="00B908AA">
              <w:rPr>
                <w:rStyle w:val="l"/>
                <w:rFonts w:ascii="Arial Narrow" w:hAnsi="Arial Narrow"/>
                <w:sz w:val="24"/>
                <w:szCs w:val="24"/>
              </w:rPr>
              <w:t xml:space="preserve">o la formación académica </w:t>
            </w:r>
            <w:r w:rsidRPr="00B908AA">
              <w:rPr>
                <w:rStyle w:val="l"/>
                <w:rFonts w:ascii="Arial Narrow" w:hAnsi="Arial Narrow"/>
                <w:i/>
                <w:sz w:val="24"/>
                <w:szCs w:val="24"/>
              </w:rPr>
              <w:t xml:space="preserve">adicional </w:t>
            </w:r>
            <w:r w:rsidRPr="00B908AA">
              <w:rPr>
                <w:rStyle w:val="l"/>
                <w:rFonts w:ascii="Arial Narrow" w:hAnsi="Arial Narrow"/>
                <w:sz w:val="24"/>
                <w:szCs w:val="24"/>
              </w:rPr>
              <w:t xml:space="preserve">no pueden considerarse como factores de ponderación porque </w:t>
            </w:r>
            <w:r w:rsidRPr="00B908AA">
              <w:rPr>
                <w:rStyle w:val="l"/>
                <w:rFonts w:ascii="Arial Narrow" w:hAnsi="Arial Narrow"/>
                <w:i/>
                <w:sz w:val="24"/>
                <w:szCs w:val="24"/>
              </w:rPr>
              <w:t xml:space="preserve">deben </w:t>
            </w:r>
            <w:r w:rsidRPr="00B908AA">
              <w:rPr>
                <w:rStyle w:val="l"/>
                <w:rFonts w:ascii="Arial Narrow" w:hAnsi="Arial Narrow"/>
                <w:sz w:val="24"/>
                <w:szCs w:val="24"/>
              </w:rPr>
              <w:t xml:space="preserve">ser utilizados como factores habilitantes.  No puede dárseles ese tratamiento para después hacer </w:t>
            </w:r>
            <w:r w:rsidRPr="00B908AA">
              <w:rPr>
                <w:rStyle w:val="l"/>
                <w:rFonts w:ascii="Arial Narrow" w:hAnsi="Arial Narrow"/>
                <w:i/>
                <w:sz w:val="24"/>
                <w:szCs w:val="24"/>
              </w:rPr>
              <w:t xml:space="preserve">exigencias mayores </w:t>
            </w:r>
            <w:r w:rsidRPr="00B908AA">
              <w:rPr>
                <w:rStyle w:val="l"/>
                <w:rFonts w:ascii="Arial Narrow" w:hAnsi="Arial Narrow"/>
                <w:sz w:val="24"/>
                <w:szCs w:val="24"/>
              </w:rPr>
              <w:t xml:space="preserve">sobre los mismos aspectos y volverlos requisitos de ponderación:  fue eso lo que quiso proscribir la ley, como lo explica el concepto citado del Consejo de Estado. </w:t>
            </w:r>
            <w:r w:rsidRPr="00B908AA">
              <w:rPr>
                <w:rFonts w:ascii="Arial Narrow" w:hAnsi="Arial Narrow"/>
                <w:sz w:val="24"/>
                <w:szCs w:val="24"/>
              </w:rPr>
              <w:t xml:space="preserve">En conclusión, en nuestro concepto es claro que </w:t>
            </w:r>
            <w:r w:rsidRPr="00B908AA">
              <w:rPr>
                <w:rFonts w:ascii="Arial Narrow" w:hAnsi="Arial Narrow"/>
                <w:iCs/>
                <w:sz w:val="24"/>
                <w:szCs w:val="24"/>
              </w:rPr>
              <w:t>en los procesos de contratación bajo la modalidad de Licitación Pública y Selección Abreviada de Menor Cuantía, no debe utilizarse como factor de calificación o ponderación de calidad la experiencia adicional o la formación académica del Talento Humano.</w:t>
            </w:r>
          </w:p>
        </w:tc>
      </w:tr>
      <w:tr w:rsidR="005272A8" w:rsidRPr="00B908AA" w:rsidTr="00BD629A">
        <w:tc>
          <w:tcPr>
            <w:tcW w:w="2972" w:type="dxa"/>
          </w:tcPr>
          <w:p w:rsidR="005272A8" w:rsidRPr="00B908AA" w:rsidRDefault="005272A8" w:rsidP="005272A8">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lastRenderedPageBreak/>
              <w:t>Fecha: 29-05-2018</w:t>
            </w:r>
          </w:p>
          <w:p w:rsidR="005272A8" w:rsidRPr="00B908AA" w:rsidRDefault="005272A8" w:rsidP="005272A8">
            <w:pPr>
              <w:autoSpaceDE w:val="0"/>
              <w:autoSpaceDN w:val="0"/>
              <w:adjustRightInd w:val="0"/>
              <w:rPr>
                <w:rFonts w:ascii="Arial Narrow" w:hAnsi="Arial Narrow" w:cs="Garamond-Bold"/>
                <w:b/>
                <w:bCs/>
                <w:sz w:val="24"/>
                <w:szCs w:val="24"/>
              </w:rPr>
            </w:pPr>
          </w:p>
        </w:tc>
        <w:tc>
          <w:tcPr>
            <w:tcW w:w="5856" w:type="dxa"/>
          </w:tcPr>
          <w:p w:rsidR="005272A8" w:rsidRPr="00B908AA" w:rsidRDefault="005272A8" w:rsidP="005272A8">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 Martín Bermúdez Muñoz. Asesor Externo Dirección de Contratación Secretaría Distrital de Gobierno.</w:t>
            </w:r>
          </w:p>
        </w:tc>
      </w:tr>
      <w:tr w:rsidR="005272A8" w:rsidRPr="00B908AA" w:rsidTr="00BD629A">
        <w:tc>
          <w:tcPr>
            <w:tcW w:w="2972" w:type="dxa"/>
          </w:tcPr>
          <w:p w:rsidR="005272A8" w:rsidRPr="00B908AA" w:rsidRDefault="005272A8" w:rsidP="005272A8">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TEMA: FALLECIMIENTO DE UN CONSORCIADO FRENTE A LA ADJUDICACIÓN, CELEBRACIÓN Y EJECUCIÓN DEL CONTRATO</w:t>
            </w:r>
          </w:p>
        </w:tc>
        <w:tc>
          <w:tcPr>
            <w:tcW w:w="5856" w:type="dxa"/>
          </w:tcPr>
          <w:p w:rsidR="005272A8" w:rsidRPr="00B908AA" w:rsidRDefault="005272A8" w:rsidP="005272A8">
            <w:pPr>
              <w:autoSpaceDE w:val="0"/>
              <w:autoSpaceDN w:val="0"/>
              <w:adjustRightInd w:val="0"/>
              <w:jc w:val="center"/>
              <w:rPr>
                <w:rFonts w:ascii="Arial Narrow" w:hAnsi="Arial Narrow" w:cs="Garamond-Bold"/>
                <w:b/>
                <w:bCs/>
                <w:sz w:val="24"/>
                <w:szCs w:val="24"/>
              </w:rPr>
            </w:pPr>
          </w:p>
          <w:p w:rsidR="005272A8" w:rsidRPr="00B908AA" w:rsidRDefault="005272A8" w:rsidP="005272A8">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5272A8" w:rsidRPr="00B908AA" w:rsidTr="00BD629A">
        <w:tc>
          <w:tcPr>
            <w:tcW w:w="2972" w:type="dxa"/>
          </w:tcPr>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 </w:t>
            </w:r>
          </w:p>
        </w:tc>
        <w:tc>
          <w:tcPr>
            <w:tcW w:w="5856" w:type="dxa"/>
          </w:tcPr>
          <w:p w:rsidR="005272A8" w:rsidRPr="00B908AA" w:rsidRDefault="005272A8" w:rsidP="005272A8">
            <w:pPr>
              <w:pStyle w:val="Standard"/>
              <w:jc w:val="both"/>
              <w:rPr>
                <w:rFonts w:ascii="Arial Narrow" w:eastAsiaTheme="minorHAnsi" w:hAnsi="Arial Narrow" w:cs="Garamond-Bold"/>
                <w:bCs/>
                <w:color w:val="auto"/>
                <w:sz w:val="24"/>
                <w:szCs w:val="24"/>
                <w:lang w:eastAsia="en-US"/>
              </w:rPr>
            </w:pPr>
            <w:r w:rsidRPr="00B908AA">
              <w:rPr>
                <w:rFonts w:ascii="Arial Narrow" w:eastAsiaTheme="minorHAnsi" w:hAnsi="Arial Narrow" w:cs="Garamond-Bold"/>
                <w:bCs/>
                <w:color w:val="auto"/>
                <w:sz w:val="24"/>
                <w:szCs w:val="24"/>
                <w:lang w:eastAsia="en-US"/>
              </w:rPr>
              <w:t xml:space="preserve">1.- Toda vez que el fallecimiento de uno de los integrantes del consorcio tuvo lugar antes de la adjudicación del contrato, es evidente que el mismo fue adjudicado a quien no tenía capacidad para obligarse y por tanto el contrato así celebrado estaría viciado de nulidad, por falta de capacidad, en atención a lo establecido por los artículos 1502 y 1741 del Código Civil1, ya que la muerte de uno de los consorciados implica la terminación del Consorcio a través del cual se pretendía celebrar el contrato. 1 ARTICULO 1502. &lt;REQUISITOS PARA OBLIGARSE&gt;. Para que una persona se obligue a otra por un acto o declaración de voluntad, es necesario: 1o.) que sea legalmente capaz.” 7 “ARTICULO 1741. &lt;NULIDAD ABSOLUTA Y RELATIVA&gt;. La nulidad producida por un objeto o causa ilícita, y la nulidad producida por la omisión de algún requisito o formalidad que las leyes prescriben para el valor de ciertos actos o contratos en consideración a la naturaleza de ellos, y no a la calidad o estado de las personas que los ejecutan o acuerdan, son nulidades absolutas. Hay así misma nulidad absoluta en los actos y contratos de personas absolutamente incapaces. Cualquiera otra especie de vicio produce nulidad relativa, y da derecho a la rescisión del acto o contrato”. 2.- También es claro que la falta de información sobre el fallecimiento de uno de los integrantes del Consorcio indujo a error a la entidad pública en la medida que de haberse conocido esta circunstancia la licitación habría sido declarada desierta y no le habría sido adjudicado el contrato (este fue el único proponente) y que el fallecimiento de uno de los integrantes generaba también que la propuesta no podía ser habilitada pues la capacidad financiera, organizacional, capacidad residual de contratación y la experiencia estuvieron determinadas por la sumatoria de las condiciones de los dos integrantes del consorcio. Desaparecido uno de los aportantes de esas condiciones, la propuesta no cumplía con las exigencias del pliego. 3.- Así las cosas, el contrato, podría haber sido declarado nulo por la jurisdicción contenciosa administrativa, en la medida que son causales de nulidad de los contratos estatales, según el artículo 44 de la ley 80 de 1993, las previstas en el derecho común (normas del Código Civil ya citadas). 8 También se habría podido pretender la nulidad y el restablecimiento del derecho del acto de adjudicación del contrato2 2 El artículo 144 del CPACA, sobre las pretensiones de controversias contractuales y la </w:t>
            </w:r>
            <w:r w:rsidRPr="00B908AA">
              <w:rPr>
                <w:rFonts w:ascii="Arial Narrow" w:eastAsiaTheme="minorHAnsi" w:hAnsi="Arial Narrow" w:cs="Garamond-Bold"/>
                <w:bCs/>
                <w:color w:val="auto"/>
                <w:sz w:val="24"/>
                <w:szCs w:val="24"/>
                <w:lang w:eastAsia="en-US"/>
              </w:rPr>
              <w:lastRenderedPageBreak/>
              <w:t xml:space="preserve">posibilidad de demandar los actos administrativos proferidos antes de la celebración del contrato – entre ellos el acto de adjudicación, dispone: “Artículo 141. Controversias contractuales. Cualquiera de las partes de un contrato del Estado podrá pedir que se declare su existencia o su nulidad, que se ordene su revisión, que se declare su incumplimiento, que se declare la nulidad de los actos administrativos contractuales, que se condene al responsable a indemnizar los perjuicios, y que se hagan otras declaraciones y condenas. Así mismo, el interesado podrá solicitar la liquidación judicial del contrato cuando esta no se haya logrado de mutuo acuerdo y la entidad estatal no lo haya liquidado unilateralmente dentro de los dos (2) meses siguientes al vencimiento del plazo convenido para liquidar de mutuo acuerdo o, en su defecto, del término establecido por la ley. Los actos proferidos antes de la celebración del contrato, con ocasión de la actividad contractual, podrán demandarse en los términos de los artículos 137 y 138 de este Código, según el caso…”. 4.- No obstante, ninguna de las anteriores opciones es posible a la fecha, toda vez que: a.- Según el literal j) del numeral 2 del artículo 164 del CPACA cuando “se pretenda la nulidad absoluta o relativa del contrato, el término para demandar será de dos (2) años que se empezarán a contar desde el día siguiente al de su perfeccionamiento. En todo caso, podrá demandarse la nulidad absoluta del contrato mientras este se encuentre vigente”. 9 El contrato de obra pública fue celebrado el 28 de octubre de 2015, por lo que el término de dos años para demandar la nulidad venció el 28 de octubre de 2017 y en todo caso la posibilidad de demandar la nulidad solo persiste mientras el contrato se encuentre vigente y el mismo terminó de común acuerdo el 2 de agosto de 2016. b.- Según el literal c) del numeral 2 del artículo 164 del CPACA cuando “se pretenda la nulidad o la nulidad y restablecimiento del derecho de los actos previos a la celebración del contrato, el término será de cuatro (4) meses contados a partir del día siguiente a su comunicación, notificación, ejecución o publicación, según el caso”. En este caso, el acto de adjudicación fue proferido el 8 de octubre de 2015, por lo que esta acción está caducada. Así las cosas, para esta asesoría es claro que no puede pretenderse a la fecha la nulidad del acto de adjudicación del contrato o la nulidad del contrato por encontrarse caducadas las acciones. 5.- Ahora bien, es evidente que se incurrió en una grave irregularidad por parte del representante legal del Consorcio al omitir informar sobre el fallecimiento de uno de los integrantes de la estructura plural. Es claro que se indujo a error a la entidad, pues de haber conocido esta información el contrato no les habría sido adjudicado y por tanto no se habría celebrado. La única 10 medida judicial que encontramos viable a la fecha frente a esta situación es la presentación de una denuncia penal </w:t>
            </w:r>
            <w:r w:rsidRPr="00B908AA">
              <w:rPr>
                <w:rFonts w:ascii="Arial Narrow" w:eastAsiaTheme="minorHAnsi" w:hAnsi="Arial Narrow" w:cs="Garamond-Bold"/>
                <w:bCs/>
                <w:color w:val="auto"/>
                <w:sz w:val="24"/>
                <w:szCs w:val="24"/>
                <w:lang w:eastAsia="en-US"/>
              </w:rPr>
              <w:lastRenderedPageBreak/>
              <w:t xml:space="preserve">por los posibles delitos de fraude procesal y falsedad ideológica, tipificados por los artículos 453 y 288 del Código Penal, que establecen: “Artículo 453. Fraude procesal. El que por cualquier medio fraudulento induzca en error a un servidor público para obtener sentencia, resolución o acto administrativo contrario a la ley, incurrirá en prisión de seis (6) a doce (12) años, multa de doscientos (200) a mil (1.000) salarios mínimos legales mensuales vigentes e inhabilitación para el ejercicio de derechos y funciones públicas de cinco (5) a ocho (8) años". Artículo 288. Obtención de documento público falso. El que para obtener documento público que pueda servir de prueba, induzca en error a un servidor público, en ejercicio de sus funciones, haciéndole consignar una manifestación falsa o callar total o parcialmente la verdad, incurrirá en prisión de tres (3) a seis (6) años.” La acción penal, conforme lo establece el artículo 83 del Código Penal prescribe en un tiempo igual al máximo de la pena, pero en ningún caso en menos de 5 años, por lo que esta alternativa se encuentra vigente. La determinación de presentar una denuncia penal debe evaluarse con un abogado penalista que acompañe el proceso con el objeto de determinar si específicamente se encuentran dados los elementos probatorios y de tipicidad que la hagan procedente. En cualquier caso, en materia de perjuicios no es posible que la entidad los reclame porque los perjuicios en esta materia – frente a los contratos estatales – resultan 11 limitados ya que, de acuerdo con lo dispuesto en el artículo 48 de la ley 80 de 19933 incluso en la nulidad por objeto ilícito la entidad contratante tiene la obligación de pagar las obras ejecutadas hasta el momento en el que ella se decreta. En este caso se ha ejecutado parte de la obra por parte del Contratista y es evidente que la entidad se ha beneficiado con la misma por lo que, independientemente del vicio en que se haya incurrido en su celebración, las obras realizadas deberán ser pagadas. 3 El artículo 48 de la ley 80 de 1993 dispone: “Artículo 48º.- De los Efectos de la Nulidad La declaración de nulidad de un contrato de ejecución sucesiva no impedirá el reconocimiento y pago de las prestaciones ejecutadas hasta el momento de la declaratoria. Habrá lugar al reconocimiento y pago de las prestaciones ejecutadas del contrato nulo por objeto o causa ilícita, cuando se probare que la entidad estatal se ha beneficiado y únicamente hasta el monto del beneficio que ésta hubiere obtenido. Se entenderá que la entidad estatal se ha beneficiado en cuanto las prestaciones cumplidas le hubieren servido para satisfacer un interés público. </w:t>
            </w:r>
          </w:p>
          <w:p w:rsidR="005272A8" w:rsidRPr="00B908AA" w:rsidRDefault="005272A8" w:rsidP="005272A8">
            <w:pPr>
              <w:autoSpaceDE w:val="0"/>
              <w:autoSpaceDN w:val="0"/>
              <w:adjustRightInd w:val="0"/>
              <w:jc w:val="both"/>
              <w:rPr>
                <w:rFonts w:ascii="Arial Narrow" w:hAnsi="Arial Narrow" w:cs="Garamond-Bold"/>
                <w:bCs/>
                <w:sz w:val="24"/>
                <w:szCs w:val="24"/>
              </w:rPr>
            </w:pPr>
          </w:p>
        </w:tc>
      </w:tr>
      <w:tr w:rsidR="005272A8" w:rsidRPr="00B908AA" w:rsidTr="00BD629A">
        <w:tc>
          <w:tcPr>
            <w:tcW w:w="2972" w:type="dxa"/>
          </w:tcPr>
          <w:p w:rsidR="005272A8" w:rsidRPr="00B908AA" w:rsidRDefault="005272A8" w:rsidP="005272A8">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lastRenderedPageBreak/>
              <w:t>Fecha: 3-05-2018</w:t>
            </w:r>
          </w:p>
          <w:p w:rsidR="005272A8" w:rsidRPr="00B908AA" w:rsidRDefault="005272A8" w:rsidP="005272A8">
            <w:pPr>
              <w:autoSpaceDE w:val="0"/>
              <w:autoSpaceDN w:val="0"/>
              <w:adjustRightInd w:val="0"/>
              <w:rPr>
                <w:rFonts w:ascii="Arial Narrow" w:hAnsi="Arial Narrow" w:cs="Garamond-Bold"/>
                <w:b/>
                <w:bCs/>
                <w:sz w:val="24"/>
                <w:szCs w:val="24"/>
              </w:rPr>
            </w:pPr>
          </w:p>
        </w:tc>
        <w:tc>
          <w:tcPr>
            <w:tcW w:w="5856" w:type="dxa"/>
          </w:tcPr>
          <w:p w:rsidR="005272A8" w:rsidRPr="00B908AA" w:rsidRDefault="005272A8" w:rsidP="005272A8">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 Martín Bermúdez Muñoz. Asesor Dirección de Contratación Secretaría Distrital de Gobierno.</w:t>
            </w:r>
          </w:p>
        </w:tc>
      </w:tr>
      <w:tr w:rsidR="005272A8" w:rsidRPr="00B908AA" w:rsidTr="00BD629A">
        <w:tc>
          <w:tcPr>
            <w:tcW w:w="2972" w:type="dxa"/>
          </w:tcPr>
          <w:p w:rsidR="005272A8" w:rsidRPr="00B908AA" w:rsidRDefault="005272A8" w:rsidP="005272A8">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lastRenderedPageBreak/>
              <w:t xml:space="preserve">TEMA: </w:t>
            </w:r>
            <w:r>
              <w:rPr>
                <w:rFonts w:ascii="Arial Narrow" w:hAnsi="Arial Narrow" w:cs="Garamond-Bold"/>
                <w:b/>
                <w:bCs/>
                <w:sz w:val="24"/>
                <w:szCs w:val="24"/>
              </w:rPr>
              <w:t>FUERO DE ESTABILIDAD REFORZADA PARA LA MUJER EN ESTADO DE EMBARAZO Y EN PERÍODO DE LACTANCIA/CONTRATISTAS DE PRESTACION DE SERVICIOS</w:t>
            </w:r>
          </w:p>
        </w:tc>
        <w:tc>
          <w:tcPr>
            <w:tcW w:w="5856" w:type="dxa"/>
          </w:tcPr>
          <w:p w:rsidR="005272A8" w:rsidRPr="00B908AA" w:rsidRDefault="005272A8" w:rsidP="005272A8">
            <w:pPr>
              <w:autoSpaceDE w:val="0"/>
              <w:autoSpaceDN w:val="0"/>
              <w:adjustRightInd w:val="0"/>
              <w:jc w:val="center"/>
              <w:rPr>
                <w:rFonts w:ascii="Arial Narrow" w:hAnsi="Arial Narrow" w:cs="Garamond-Bold"/>
                <w:b/>
                <w:bCs/>
                <w:sz w:val="24"/>
                <w:szCs w:val="24"/>
              </w:rPr>
            </w:pPr>
          </w:p>
          <w:p w:rsidR="005272A8" w:rsidRPr="00B908AA" w:rsidRDefault="005272A8" w:rsidP="005272A8">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5272A8" w:rsidRPr="00B908AA" w:rsidTr="00BD629A">
        <w:tc>
          <w:tcPr>
            <w:tcW w:w="2972" w:type="dxa"/>
          </w:tcPr>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p w:rsidR="005272A8" w:rsidRPr="00B908AA" w:rsidRDefault="005272A8" w:rsidP="005272A8">
            <w:pPr>
              <w:autoSpaceDE w:val="0"/>
              <w:autoSpaceDN w:val="0"/>
              <w:adjustRightInd w:val="0"/>
              <w:jc w:val="both"/>
              <w:rPr>
                <w:rFonts w:ascii="Arial Narrow" w:hAnsi="Arial Narrow" w:cs="Garamond-Bold"/>
                <w:b/>
                <w:bCs/>
                <w:sz w:val="24"/>
                <w:szCs w:val="24"/>
              </w:rPr>
            </w:pPr>
          </w:p>
        </w:tc>
        <w:tc>
          <w:tcPr>
            <w:tcW w:w="5856" w:type="dxa"/>
          </w:tcPr>
          <w:p w:rsidR="005272A8" w:rsidRPr="00B908AA" w:rsidRDefault="005272A8" w:rsidP="005272A8">
            <w:pPr>
              <w:spacing w:before="100" w:beforeAutospacing="1" w:after="100" w:afterAutospacing="1"/>
              <w:jc w:val="both"/>
              <w:rPr>
                <w:rFonts w:ascii="Arial Narrow" w:hAnsi="Arial Narrow" w:cs="Garamond-Bold"/>
                <w:bCs/>
                <w:sz w:val="24"/>
                <w:szCs w:val="24"/>
              </w:rPr>
            </w:pPr>
            <w:r w:rsidRPr="005F7926">
              <w:rPr>
                <w:sz w:val="24"/>
                <w:szCs w:val="24"/>
                <w:lang w:eastAsia="es-CO"/>
              </w:rPr>
              <w:lastRenderedPageBreak/>
              <w:t xml:space="preserve">La jurisprudencia constitucional ha sido reiterativa en precisar los mecanismos de protección (fuero de estabilidad laboral reforzada) no solo a la mujer gestante sino al bebe que esta por nacer; mecanismos que, han sido delimitados a partir de los instrumentos y convenios internacionales de los cuales forma parte del Estado Colombiano así: (..) En la Constitución Política, existen diferentes disposiciones que reconocen la importancia que tiene, en un Estado Social de Derecho, el deber de garantizar una protección especial a la trabajadora que se encuentre en estado de embarazo o en periodo de lactancia. 3.2.2. En primer lugar, el artículo 13 Superior consagra el principio y derecho constitucional a la igualdad, de acuerdo con el cual las autoridades tienen el deber de promover “medidas a favor de grupos discriminados o marginados” y “proteger especialmente a aquellas personas </w:t>
            </w:r>
            <w:r w:rsidR="00FB78B1" w:rsidRPr="005F7926">
              <w:rPr>
                <w:sz w:val="24"/>
                <w:szCs w:val="24"/>
                <w:lang w:eastAsia="es-CO"/>
              </w:rPr>
              <w:t>que,</w:t>
            </w:r>
            <w:r w:rsidRPr="005F7926">
              <w:rPr>
                <w:sz w:val="24"/>
                <w:szCs w:val="24"/>
                <w:lang w:eastAsia="es-CO"/>
              </w:rPr>
              <w:t xml:space="preserve"> por su condición económica, física o mental, se encuentran en circunstancia de debilidad manifiesta”, como es el caso de las madres gestantes o lactantes. 3.2.3. En segundo lugar, el artículo 43 Constitucional contiene un deber específico estatal cuando señala que la mujer “durante el embarazo y después del parto gozará de especial asistencia y protección del Estado, y recibirá de este subsidio alimentario si entonces estuviere desempleada o desamparada”.  La Corte ha entendido que este enunciado constitucional implica a su vez dos obligaciones: “la especial protección estatal de la mujer embarazada y lactante, sin distinción, y un deber prestacional también a cargo del Estado: otorgar un subsidio cuando esté desempleada o desamparada”. </w:t>
            </w:r>
            <w:r>
              <w:rPr>
                <w:sz w:val="24"/>
                <w:szCs w:val="24"/>
                <w:lang w:eastAsia="es-CO"/>
              </w:rPr>
              <w:t xml:space="preserve"> </w:t>
            </w:r>
            <w:r w:rsidRPr="005F7926">
              <w:rPr>
                <w:sz w:val="24"/>
                <w:szCs w:val="24"/>
                <w:lang w:eastAsia="es-CO"/>
              </w:rPr>
              <w:t xml:space="preserve">3.2.4. En tercer lugar, el artículo 53 Superior, de manera específica, establece que algunos de los principios mínimos fundamentales que deben orientar las relaciones laborales son: la “estabilidad en el empleo” y la “protección especial a la mujer y a la maternidad”. </w:t>
            </w:r>
            <w:r>
              <w:rPr>
                <w:sz w:val="24"/>
                <w:szCs w:val="24"/>
                <w:lang w:eastAsia="es-CO"/>
              </w:rPr>
              <w:t xml:space="preserve"> </w:t>
            </w:r>
            <w:r w:rsidRPr="005F7926">
              <w:rPr>
                <w:sz w:val="24"/>
                <w:szCs w:val="24"/>
                <w:lang w:eastAsia="es-CO"/>
              </w:rPr>
              <w:t xml:space="preserve">3.2.5. En cuarto lugar, de una lectura </w:t>
            </w:r>
            <w:r w:rsidRPr="005F7926">
              <w:rPr>
                <w:sz w:val="24"/>
                <w:szCs w:val="24"/>
                <w:lang w:eastAsia="es-CO"/>
              </w:rPr>
              <w:lastRenderedPageBreak/>
              <w:t xml:space="preserve">armónica del Preámbulo y de los artículos 11 y 44 de la Constitución, se deriva que la vida es un derecho fundamental inviolable y por ende debe ser asegurado por el Estado. Con base en este principio, resulta evidente que a la mujer embarazada se le debe brindar una especial protección estatal como “gestadora de vida que es”. Al respecto, la Corte ha señalado que, “la protección a la mujer trabajadora gestante tiene como fundamento a la presunción de que la vida que se está gestando es protegida, cuando la madre goza efectivamente de sus derechos fundamentales, especialmente de su derecho al trabajo, del cual se deriva el sustento económico que le va proveer lo necesario para cuidar de su hijo por nacer.” 3.2.6. Y en quinto lugar los mandatos contenidos en los artículos 5 y 42 de la Carta Política [37] también han sido considerados como fundamentos constitucionales del derecho aludido, gracias a la relevancia que tiene la institución de la familia, y por ende, la mujer gestante, como base de la sociedad[. 3.2.7. En ese mismo sentido, a nivel infra constitucional, existen preceptos legales en los que se establece el deber de protección de la mujer embarazada y o en periodo de lactancia. Entre las normas más relevantes, se encuentran: (i) Los artículos 236 a 238 del Código Sustantivo del Trabajo, en los que se establece el descanso remunerado para la época del parto, en caso de aborto y durante la lactancia. (ii) El artículo 239 del mismo estatuto, mediante el cual se proscribe el despido de una trabajadora por motivo de embarazo o lactancia, se establece la presunción de que el despido se ha efectuado por motivo de embarazo o lactancia y se definen las sanciones que se imponen a quienes incumplan la prohibición (iii) Y el artículo 240 del mismo cuerpo normativo, el cual señala que el despido de una mujer en estado de embarazo o lactante debe ser autorizado por el Inspector de Trabajo o el Alcalde Municipal, en los lugares en los que no exista inspector. Quien emita la autorización de despido, debe constatar que la solicitud del empleador se hizo con fundamento en alguna de las causales consagradas en los artículos 62 y 63 del Código Sustantivo y haber escuchado previamente a la trabajadora. La infracción de lo dispuesto en esta norma genera la ineficacia del despido. 3.2.8. Ahora bien, en el ordenamiento jurídico internacional, también existen en los Sistemas Universal e Interamericano de protección de </w:t>
            </w:r>
            <w:r w:rsidRPr="005F7926">
              <w:rPr>
                <w:sz w:val="24"/>
                <w:szCs w:val="24"/>
                <w:lang w:eastAsia="es-CO"/>
              </w:rPr>
              <w:lastRenderedPageBreak/>
              <w:t>los derechos humanos, disposiciones normativas en las que se han definido pautas e instituido medidas de protección frente a las amenazas o violaciones de los derechos de las mujeres embarazadas o lactantes. Son instrumentos internacionales relevantes para el tema en cuestión, los siguientes:  (i)           La Declaración Universal de Derechos Humanos (artículo 25)[40]; (ii)        el Pacto Internacional de Derechos Económicos, Sociales y Culturales (artículos 2, 6 y 10.2)[41]; (iii)       el Pacto Internacional de Derechos Civiles y Políticos (artículos 3 y 26)[42]; (iv)       la Convención Americana de Derechos Humanos (artículos 1[43] y 24[44]); (v)       la Convención sobre la eliminación de todas las formas de discriminación contra la mujer –CEDAW- (artículos 11 y 12.2)[45] 3.2.9. Con base en los fundamentos constitucionales, legales e internacionales expuestos, es posible arribar a las siguientes conclusiones: (i) existe una obligación general y objetiva de protección a la mujer embarazada y lactante a cargo del Estado; (ii) esa protección se traduce en un fuero de la mujer frente a posibles discriminaciones en el ámbito laboral como consecuencia de su estado de gravidez o maternidad (entiéndase periodo de lactancia); (iii) el valor que tiene la vida en nuestro ordenamiento constitucional impone el deber al Estado de proteger no solo a la mujer como gestadora de vida, sino también al naciturus y al que acaba de nacer; y (iv) la protección a la madre embarazada o en periodo de lactancia garantiza además la salvaguarda de la familia como institución base de la sociedad. (Corte Constitucional Sentencia T-092/16)</w:t>
            </w:r>
            <w:r>
              <w:rPr>
                <w:sz w:val="24"/>
                <w:szCs w:val="24"/>
                <w:lang w:eastAsia="es-CO"/>
              </w:rPr>
              <w:t xml:space="preserve">. </w:t>
            </w:r>
            <w:r w:rsidRPr="005F7926">
              <w:rPr>
                <w:sz w:val="24"/>
                <w:szCs w:val="24"/>
                <w:lang w:eastAsia="es-CO"/>
              </w:rPr>
              <w:t>De otra parte, en Sentencia C-005-2017, se determinó el alcance y los fundamentos del fuero de estabilidad laboral reforzada delimitándolos a cuatro (4) aspectos esenciales así</w:t>
            </w:r>
            <w:r w:rsidR="00FB78B1" w:rsidRPr="005F7926">
              <w:rPr>
                <w:sz w:val="24"/>
                <w:szCs w:val="24"/>
                <w:lang w:eastAsia="es-CO"/>
              </w:rPr>
              <w:t>: (…</w:t>
            </w:r>
            <w:r w:rsidRPr="005F7926">
              <w:rPr>
                <w:sz w:val="24"/>
                <w:szCs w:val="24"/>
                <w:lang w:eastAsia="es-CO"/>
              </w:rPr>
              <w:t xml:space="preserve">) 4.1. Primer Fundamento. El artículo 43 contempla un deber específico estatal en este sentido cuando señala que la mujer “durante el embarazo y después del parto gozará de especial asistencia y protección del Estado, y recibirá de este subsidio alimentario si entonces estuviere desempleada o desamparada”. Este enunciado constitucional implica a su vez dos obligaciones: la especial protección estatal de la mujer embarazada y lactante, sin distinción, y un deber prestacional también a cargo del Estado consistente en otorgar un subsidio cuando esté desempleada o desamparada. Igualmente, el Estado colombiano se ha obligado internacionalmente a </w:t>
            </w:r>
            <w:r w:rsidRPr="005F7926">
              <w:rPr>
                <w:sz w:val="24"/>
                <w:szCs w:val="24"/>
                <w:lang w:eastAsia="es-CO"/>
              </w:rPr>
              <w:lastRenderedPageBreak/>
              <w:t>garantizar los derechos de las mujeres durante el periodo de gestación y de lactancia. Así, la Declaración Universal de Derechos Humanos en su artículo 25 señala que “la maternidad y la infancia tienen derecho a cuidados y asistencia especiales”, mientras que el artículo 10.2 del Pacto Internacional de Derechos Económicos, Sociales y Culturales (PIDESC), aprobado por Colombia mediante la Ley 74 de 1968, señala que “se debe conceder especial protección a las madres durante un período de tiempo razonable antes y después del parto”. Por su parte, el artículo 12.2 de la Convención sobre la eliminación de todas las formas de discriminación contra la mujer (CEDAW, por sus siglas en inglés), señala que “los Estados Partes garantizarán a la mujer servicios apropiados en relación con el embarazo, el parto y el período posterior al parto, proporcionando servicios gratuitos cuando fuere necesario”. A partir de estos referentes la jurisprudencia de esta Corte reconoció que “existe una obligación general y objetiva de protección a la mujer embarazada y lactante a cargo del Estado. Es decir, se trata de una protección no sólo de aquellas mujeres que se encuentran en el marco de una relación laboral sino, en general, de todas las mujeres”</w:t>
            </w:r>
            <w:r>
              <w:rPr>
                <w:sz w:val="24"/>
                <w:szCs w:val="24"/>
                <w:lang w:eastAsia="es-CO"/>
              </w:rPr>
              <w:t xml:space="preserve">. </w:t>
            </w:r>
            <w:r w:rsidRPr="005F7926">
              <w:rPr>
                <w:sz w:val="24"/>
                <w:szCs w:val="24"/>
                <w:lang w:eastAsia="es-CO"/>
              </w:rPr>
              <w:t xml:space="preserve">4.2.- El segundo fundamento constitucional es la protección de la mujer embarazada o lactante de la discriminación en el ámbito del trabajo, habitualmente conocida como fuero de maternidad. El fin de la protección en este caso es impedir la discriminación constituida por el despido, la terminación o la no renovación del contrato de trabajo por causa o con ocasión del embarazo o la lactancia. El fundamento constitucional inicial del fuero de </w:t>
            </w:r>
            <w:r w:rsidR="00FB78B1" w:rsidRPr="005F7926">
              <w:rPr>
                <w:sz w:val="24"/>
                <w:szCs w:val="24"/>
                <w:lang w:eastAsia="es-CO"/>
              </w:rPr>
              <w:t>maternidad</w:t>
            </w:r>
            <w:r w:rsidRPr="005F7926">
              <w:rPr>
                <w:sz w:val="24"/>
                <w:szCs w:val="24"/>
                <w:lang w:eastAsia="es-CO"/>
              </w:rPr>
              <w:t xml:space="preserve"> es el derecho a la igualdad y la consecuente prohibición de la discriminación por razones de sexo, prescritas en los artículos 13 y 43 de la Constitución, en el artículo 26 del Pacto Internacional de Derechos Civiles y Políticos (PIDCP) y en los artículos 1y 24 de la Convención Americana sobre Derechos Humanos (CADH). Del mismo modo se funda en los artículos 2 y 6 del Pacto Internacional de Derechos Económicos Sociales y Culturales (PIDESC) y en los artículos 3 y 6 del Pacto de San Salvador, que en su conjunto consagran el derecho a trabajar para todas las personas sin distinciones de sexo. De forma más concreta, la Convención para la Eliminación de Todas las Formas de Discriminación contra la Mujer (CEDAW), expedida en </w:t>
            </w:r>
            <w:r w:rsidRPr="005F7926">
              <w:rPr>
                <w:sz w:val="24"/>
                <w:szCs w:val="24"/>
                <w:lang w:eastAsia="es-CO"/>
              </w:rPr>
              <w:lastRenderedPageBreak/>
              <w:t xml:space="preserve">Nueva York el 18 de diciembre de 1979, por la Asamblea General de la ONU y aprobada por la ley 51 de 1981, en su artículo 11 dispone que es obligación de los Estados adoptar “todas las medidas apropiadas para eliminar la discriminación contra la mujer en la esfera del empleo” a fin de asegurarle, en condiciones de igualdad con los hombres “el derecho al trabajo como derecho inalienable de todo ser humano”. (…) En este mismo ámbito, la Organización Internacional del Trabajo –OIT– ha desarrollado en su Constitución misma y en diferentes Convenios un deber fundamental a cargo de los Estados que consiste en promover la igualdad de oportunidades y de trato entre hombres y mujeres en el mundo laboral. Desde comienzos del siglo XX, la OIT promulgó regulaciones específicas para amparar a la mujer embarazada. Así, el Convenio No 3, que entró en vigor el 13 de junio de 1921 y fue aprobado por Colombia por la Ley 129 de 1931, estableció pautas para una protección de la mujer trabajadora antes, durante y con posterioridad al parto. Esto concuerda con la Recomendación No. 95 de la OIT de 1952, sobre protección de la maternidad, la cual constituye una pauta hermenéutica para precisar el alcance constitucional de la protección a la estabilidad laboral de la mujer embarazada. Según el artículo 4º de ese documento internacional, una protección idónea del empleo de la mujer antes y después del parto, implica que se debe no sólo salvaguardar la antigüedad de estas trabajadoras “durante la ausencia legal, antes y después del parto” sino que, además, se les debe asegurar “su derecho a ocupar nuevamente su antiguo trabajo o un trabajo equivalente retribuido con la misma tasa”. (…) Finalmente, el Convenio 183 de la OIT de 1952 relativo a la protección de la maternidad, estableció que los Estados “deberá[n] adoptar las medidas necesarias para garantizar que no se obligue a las mujeres embarazadas o lactantes a desempeñar un trabajo que haya sido determinado por la autoridad competente como perjudicial para su salud o la de su hijo, o respecto del cual se haya establecido mediante evaluación que conlleva un riesgo significativo para la salud de la madre o del hijo.”[41] Este Convenio también desarrolla el derecho que tiene toda mujer “a una licencia de maternidad de una duración de al menos catorce semanas” (artículo 4.1) y la obligación que tienen los Estados de adoptar medidas apropiadas para </w:t>
            </w:r>
            <w:r w:rsidRPr="005F7926">
              <w:rPr>
                <w:sz w:val="24"/>
                <w:szCs w:val="24"/>
                <w:lang w:eastAsia="es-CO"/>
              </w:rPr>
              <w:lastRenderedPageBreak/>
              <w:t>garantizar que “la maternidad no constituya una causa de discriminación en el empleo, con inclusión del acceso al empleo” (Artículo 9, se destaca).</w:t>
            </w:r>
            <w:r>
              <w:rPr>
                <w:sz w:val="24"/>
                <w:szCs w:val="24"/>
                <w:lang w:eastAsia="es-CO"/>
              </w:rPr>
              <w:t xml:space="preserve"> </w:t>
            </w:r>
            <w:r w:rsidRPr="005F7926">
              <w:rPr>
                <w:sz w:val="24"/>
                <w:szCs w:val="24"/>
                <w:lang w:eastAsia="es-CO"/>
              </w:rPr>
              <w:t xml:space="preserve">Con base en estos referentes normativos la Corte ha concluido que las disposiciones constitucionales y las normas internacionales establecen una garantía reforzada a la estabilidad en el trabajo de las mujeres que se encuentran en el periodo de embarazo y lactancia. En este sentido, la Corte ha indicado que “en desarrollo del principio de igualdad y en aras de garantizar el derecho al trabajo de la mujer embarazada (…) tiene un derecho constitucional a una estabilidad laboral reforzada, pues una de las manifestaciones más claras de discriminación sexual ha sido, y sigue siendo, el despido injustificado de las mujeres que se encuentran en estado de gravidez, debido a los eventuales sobre costos o incomodidades que tal fenómeno puede implicar para las empresas”. 4.3. Un tercer fundamento de la protección especial de la mujer en estado de gravidez deriva de los preceptos constitucionales que califican a la vida como un valor fundante del ordenamiento constitucional, especialmente el Preámbulo y los artículos 11 y 44 de la Carta Política. La vida, como se ha señalado en reiterada jurisprudencia de esta Corporación, es un bien jurídico de máxima relevancia. Por ello la mujer en estado de embarazo es también protegida en forma preferencial por el ordenamiento como gestadora de la vida que es. La protección reforzada de la mujer embarazada se extiende entonces a la protección de la maternidad, cuando ya ha culminado el período de gestación y ha dado a luz. Esta medida de protección guarda estrecha relación con los contenidos normativos constitucionales que hacen referencia a la protección de los niños y de la familia. De esta manera se pretende que la mujer pueda brindar la necesaria atención a sus hijos, sin que por ello sea objeto de discriminaciones en otros campos de la vida social, como el trabajo, buscando entre otros propósitos el de “garantizar el buen cuidado y la alimentación de los recién </w:t>
            </w:r>
            <w:r w:rsidR="00FB78B1" w:rsidRPr="005F7926">
              <w:rPr>
                <w:sz w:val="24"/>
                <w:szCs w:val="24"/>
                <w:lang w:eastAsia="es-CO"/>
              </w:rPr>
              <w:t>nacidos” [</w:t>
            </w:r>
            <w:r w:rsidRPr="005F7926">
              <w:rPr>
                <w:sz w:val="24"/>
                <w:szCs w:val="24"/>
                <w:lang w:eastAsia="es-CO"/>
              </w:rPr>
              <w:t xml:space="preserve">44]. Como ya se ha mencionado, el artículo 43 de la Constitución ordena que “durante el embarazo y después del parto [la mujer goce] de especial asistencia y protección del Estado” y el artículo 53, que dentro de los principios mínimos fundamentales del estatuto del trabajo, se incluya la “protección especial a la mujer [y] a </w:t>
            </w:r>
            <w:r w:rsidRPr="005F7926">
              <w:rPr>
                <w:sz w:val="24"/>
                <w:szCs w:val="24"/>
                <w:lang w:eastAsia="es-CO"/>
              </w:rPr>
              <w:lastRenderedPageBreak/>
              <w:t xml:space="preserve">la maternidad”. La intención del Constituyente de garantizar los mencionados </w:t>
            </w:r>
            <w:r w:rsidR="00FB78B1" w:rsidRPr="005F7926">
              <w:rPr>
                <w:sz w:val="24"/>
                <w:szCs w:val="24"/>
                <w:lang w:eastAsia="es-CO"/>
              </w:rPr>
              <w:t>derechos</w:t>
            </w:r>
            <w:r w:rsidRPr="005F7926">
              <w:rPr>
                <w:sz w:val="24"/>
                <w:szCs w:val="24"/>
                <w:lang w:eastAsia="es-CO"/>
              </w:rPr>
              <w:t xml:space="preserve"> se evidencia en la previsión de que la mujer embarazada reciba del Estado un “subsidio alimentario si entonces estuviere desempleada o desamparada”. En este sentido, la jurisprudencia constitucional ha considerado que el fuero de maternidad previsto en el Código Sustantivo del Trabajo, además de prevenir y sancionar la discriminación por causa o razón del embarazo, desde una perspectiva constitucional e internacional, debe servir también para garantizar a la mujer embarazada o lactante un salario o un ingreso que le permita una vida en condiciones dignas y el goce del derecho al mínimo vital y a la salud, de forma independiente.</w:t>
            </w:r>
            <w:r>
              <w:rPr>
                <w:sz w:val="24"/>
                <w:szCs w:val="24"/>
                <w:lang w:eastAsia="es-CO"/>
              </w:rPr>
              <w:t xml:space="preserve"> </w:t>
            </w:r>
            <w:r w:rsidRPr="005F7926">
              <w:rPr>
                <w:sz w:val="24"/>
                <w:szCs w:val="24"/>
                <w:lang w:eastAsia="es-CO"/>
              </w:rPr>
              <w:t xml:space="preserve">4.4. En cuarto lugar, la especial protección a la mujer gestante y a la maternidad se justifica, igualmente, por la particular relevancia de la familia en el orden constitucional colombiano, ya que ésta es la institución básica de la sociedad que merece una protección integral de parte de la sociedad y del Estado (CP art. 5º y 42), pues como ha sostenido esta Corte “si la mujer que va a tener un hijo, o la madre que acaba de tenerlo, no recibieran un apoyo específico, los lazos familiares podrían verse gravemente afectados.”  En conclusión, los múltiples fundamentos constitucionales que concurren a proveer justificación a la especial protección que la sociedad y le Estado deben prodigar a la mujer en período de gestación y de lactancia tiene una consecuencia jurídica importante: “el ordenamiento jurídico debe brindar una garantía especial y efectiva a los derechos de la mujer que va a ser madre, o que acaba de serlo. Se trata de un deber de protección que vincula a todas las autoridades públicas, debe abarcar todos los ámbitos de la vida social, y aunque adquiere una particular relevancia en el ámbito laboral (fuero de maternidad) comoquiera que, debido a la maternidad, la mujer ha sido y sigue siendo objeto de graves discriminaciones en las relaciones de trabajo, involucra también otros ámbitos como la preservación del valor de la vida, la protección de la familia, la asistencia y la seguridad social y el interés superior del menor. (…) Ahora bien, en lo que se refiere al fuero de estabilidad laboral reforzada en periodo de lactancia, en Sentencia T-503 de 2016 el alto Tribunal precisó: </w:t>
            </w:r>
            <w:r w:rsidR="00FB78B1" w:rsidRPr="005F7926">
              <w:rPr>
                <w:sz w:val="24"/>
                <w:szCs w:val="24"/>
                <w:lang w:eastAsia="es-CO"/>
              </w:rPr>
              <w:t>(…</w:t>
            </w:r>
            <w:r w:rsidRPr="005F7926">
              <w:rPr>
                <w:sz w:val="24"/>
                <w:szCs w:val="24"/>
                <w:lang w:eastAsia="es-CO"/>
              </w:rPr>
              <w:t xml:space="preserve">) 3.1. La licencia de maternidad no es una prestación económica más a la que tiene derecho la mujer </w:t>
            </w:r>
            <w:r w:rsidRPr="005F7926">
              <w:rPr>
                <w:sz w:val="24"/>
                <w:szCs w:val="24"/>
                <w:lang w:eastAsia="es-CO"/>
              </w:rPr>
              <w:lastRenderedPageBreak/>
              <w:t xml:space="preserve">trabajadora después del parto, sino que constituye una de las manifestaciones más importantes de la protección especial que por mandato de la propia Constitución Política y de los instrumentos internacionales sobre derechos humanos se le debe prodigar. Así, la Constitución de 1991, consagró dicha protección especial, a la mujer en período de gestación y lactancia en su artículo 43: “(…) La mujer y el hombre tienen iguales derechos y oportunidades. La mujer no podrá ser sometida a ninguna clase de discriminación. Durante el embarazo y después del parto gozará de especial asistencia y protección del Estado, y recibirá de </w:t>
            </w:r>
            <w:r w:rsidR="00FB78B1" w:rsidRPr="005F7926">
              <w:rPr>
                <w:sz w:val="24"/>
                <w:szCs w:val="24"/>
                <w:lang w:eastAsia="es-CO"/>
              </w:rPr>
              <w:t>este</w:t>
            </w:r>
            <w:r w:rsidRPr="005F7926">
              <w:rPr>
                <w:sz w:val="24"/>
                <w:szCs w:val="24"/>
                <w:lang w:eastAsia="es-CO"/>
              </w:rPr>
              <w:t xml:space="preserve"> subsidio alimentario si entonces estuviere desempleada o desamparada. El Estado apoyará de manera especial a la mujer cabeza de familia”. Esta norma implica un deber y una garantía específica de protección para la madre gestante y para el recién nacido. El artículo 10-2 del Pacto Internacional de Derechos Económicos, Sociales y Culturales (Ley 74 de 1968), señala: “Se debe conceder especial protección a las madres durante un período de tiempo razonable antes y después del parto. Durante dicho período, a las madres que trabajen se les debe conceder licencia con remuneración o con prestaciones adecuadas de seguridad social”. El literal b) del numeral 2º del artículo 11 de la Convención Sobre Eliminación de Todas las Formas de Discriminación Contra la Mujer (Ley 51 de 1981), indica: “A fin de impedir la discriminación contra la mujer por razones de matrimonio o maternidad y asegurar la efectividad de su derecho a trabajar, los Estados Partes tomarán medidas adecuadas para: (…) b) Implantar la licencia de maternidad con sueldo pagado o con prestaciones sociales comparables sin pérdida del empleo previo, la antigüedad o beneficios sociales”. De la Convención Sobre Eliminación de Todas las Formas de Discriminación Contra la Mujer, al igual que de la Convención Interamericana Sobre la Eliminación de Todas las Formas de Violencia Contra la Mujer, se destaca que la importancia social de la maternidad y la función de ambos padres en la familia y en la educación de los hijos, resaltando que el papel de la mujer en la procreación no debe ser causa de discriminación sino, que debe existir una armonización de las responsabilidades laborales y familiares en el hogar, así mismo, se debe ser consecuente en que la educación de los niños exige la responsabilidad compartida entre </w:t>
            </w:r>
            <w:r w:rsidRPr="005F7926">
              <w:rPr>
                <w:sz w:val="24"/>
                <w:szCs w:val="24"/>
                <w:lang w:eastAsia="es-CO"/>
              </w:rPr>
              <w:lastRenderedPageBreak/>
              <w:t>hombres y mujeres, la familia, la sociedad y el Estado. En todos estos convenios, la normativa desarrollada, relativa a la protección de la maternidad y, el cuidado de los hijos, proclaman como derechos esenciales en todas las esferas, el empleo, el derecho de familia, la atención de salud y la educación. En el artículo 9-2 del Protocolo Facultativo Adicional a la Convención Americana sobre Derechos Humanos “Protocolo de San Salvador” (Ley 319 de 1996), respecto al derecho a la Seguridad Social, se consagró que: “Cuando se trate de personas que se encuentran trabajando, el derecho a la seguridad social cubrirá al menos la atención médica y el subsidio o jubilación en casos de accidentes de trabajo o de enfermedad profesional y, cuando se trate de mujeres, licencia retribuida por maternidad antes y después del parto”. (...)</w:t>
            </w:r>
            <w:r>
              <w:rPr>
                <w:sz w:val="24"/>
                <w:szCs w:val="24"/>
                <w:lang w:eastAsia="es-CO"/>
              </w:rPr>
              <w:t xml:space="preserve"> </w:t>
            </w:r>
            <w:r w:rsidRPr="005F7926">
              <w:rPr>
                <w:sz w:val="24"/>
                <w:szCs w:val="24"/>
                <w:lang w:eastAsia="es-CO"/>
              </w:rPr>
              <w:t xml:space="preserve">3.2. Es por ello que el Estado debe propender hacia la garantía de la efectividad de los derechos de las madres gestantes y de las niñas y niños en sujeción al fuero de maternidad que se orienta a la plena observancia de los principios esenciales de la fórmula política acogida en el artículo 1º Superior. La maternidad debe ser así reconocida y protegida como derecho humano. (…) 3.3. El Convenio Nº 100 y la correspondiente Recomendación (núm. 90), así como, el Nº 111 de la OIT, adoptados por Colombia el 7 de junio de 1963 y que se encuentran actualmente en vigor, se refieren a medidas especiales, que propenden hacia la no discriminación, destinadas a satisfacer las necesidades particulares de las personas a las que, por razones tales como el sexo, la edad, la invalidez, las cargas de familia o el nivel social o cultural, generalmente se les reconozca la necesidad de protección o asistencia especial, como el caso específico  de la maternidad. </w:t>
            </w:r>
            <w:r>
              <w:rPr>
                <w:sz w:val="24"/>
                <w:szCs w:val="24"/>
                <w:lang w:eastAsia="es-CO"/>
              </w:rPr>
              <w:t>(</w:t>
            </w:r>
            <w:r w:rsidRPr="005F7926">
              <w:rPr>
                <w:sz w:val="24"/>
                <w:szCs w:val="24"/>
                <w:lang w:eastAsia="es-CO"/>
              </w:rPr>
              <w:t xml:space="preserve">…)   3.4. Así mismo, en el derecho interno, el artículo 236 del Código Sustantivo del Trabajo, modificado por la Ley 1468 de 2011, señala que: “1. Toda trabajadora en estado de embarazo tiene derecho a una licencia de catorce (14) semanas en la época de parto, remunerada con el salario que devengue al entrar a disfrutar del descanso. 2. Si se tratare de un salario que no sea fijo, como en el caso de trabajo a destajo o por tarea, se toma en cuenta el salario promedio devengado por la trabajadora en el último año de servicios, o en todo el tiempo si fuere menor. 3. Para los efectos de la licencia de que trata este artículo, la trabajadora debe presentar al </w:t>
            </w:r>
            <w:r w:rsidRPr="005F7926">
              <w:rPr>
                <w:sz w:val="24"/>
                <w:szCs w:val="24"/>
                <w:lang w:eastAsia="es-CO"/>
              </w:rPr>
              <w:lastRenderedPageBreak/>
              <w:t xml:space="preserve">empleador un certificado médico, en el cual debe constar:  a) El estado de embarazo de la trabajadora; b) La indicación del día probable del parto, y c) La indicación del día desde el cual debe empezar la licencia, teniendo en cuenta que, por lo menos, ha de iniciarse dos semanas antes del parto”. El reconocimiento de la licencia de maternidad, por parte del Legislador, permite un espacio para que la madre gestante afronte con tranquilidad la dificultad del parto o para que, de forma extensiva, la persona adoptante cuente con el tiempo y el dinero para iniciar el proceso de adaptación con el niño o adolescente que el Estado autorice entregar en adopción.  (…)  Los anteriores criterios jurisprudenciales detallan con contundencia la importancia de la licencia en periodo de lactancia o licencia de maternidad, instituida aquella no solo como un derecho de carácter irrenunciable y de contenido económico, sino que, su connotación de mecanismo especialísimo de protección del Estado a la familia, hacen de la misma una herramienta no compensable en dinero, ni transable ni modificable bajo ningún concepto no solo dentro de una relación contractual regulada por la norma sustantiva laboral, sino también dentro de un vínculo prestacional civil del que trata la Ley 80 de 1993. </w:t>
            </w:r>
          </w:p>
        </w:tc>
      </w:tr>
      <w:tr w:rsidR="005272A8" w:rsidRPr="00B908AA" w:rsidTr="00BD629A">
        <w:tc>
          <w:tcPr>
            <w:tcW w:w="2972" w:type="dxa"/>
          </w:tcPr>
          <w:p w:rsidR="005272A8" w:rsidRPr="00B908AA" w:rsidRDefault="005272A8" w:rsidP="005272A8">
            <w:pPr>
              <w:autoSpaceDE w:val="0"/>
              <w:autoSpaceDN w:val="0"/>
              <w:adjustRightInd w:val="0"/>
              <w:rPr>
                <w:rFonts w:ascii="Arial Narrow" w:hAnsi="Arial Narrow" w:cs="Garamond-Bold"/>
                <w:b/>
                <w:bCs/>
                <w:sz w:val="24"/>
                <w:szCs w:val="24"/>
              </w:rPr>
            </w:pPr>
            <w:r w:rsidRPr="00E202E4">
              <w:rPr>
                <w:rFonts w:ascii="Arial Narrow" w:hAnsi="Arial Narrow" w:cs="Garamond-Bold"/>
                <w:b/>
                <w:bCs/>
                <w:sz w:val="24"/>
                <w:szCs w:val="24"/>
              </w:rPr>
              <w:lastRenderedPageBreak/>
              <w:t>Fecha: 15-01-2018</w:t>
            </w:r>
          </w:p>
          <w:p w:rsidR="005272A8" w:rsidRPr="00B908AA" w:rsidRDefault="005272A8" w:rsidP="005272A8">
            <w:pPr>
              <w:autoSpaceDE w:val="0"/>
              <w:autoSpaceDN w:val="0"/>
              <w:adjustRightInd w:val="0"/>
              <w:rPr>
                <w:rFonts w:ascii="Arial Narrow" w:hAnsi="Arial Narrow" w:cs="Garamond-Bold"/>
                <w:b/>
                <w:bCs/>
                <w:sz w:val="24"/>
                <w:szCs w:val="24"/>
              </w:rPr>
            </w:pPr>
          </w:p>
        </w:tc>
        <w:tc>
          <w:tcPr>
            <w:tcW w:w="5856" w:type="dxa"/>
          </w:tcPr>
          <w:p w:rsidR="005272A8" w:rsidRPr="00B908AA" w:rsidRDefault="005272A8" w:rsidP="005272A8">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Dra. Yolanda Villabona. Directora de Contratación Secretaría Distrital de Gobierno.</w:t>
            </w:r>
          </w:p>
        </w:tc>
      </w:tr>
      <w:tr w:rsidR="00BD629A" w:rsidRPr="00B908AA" w:rsidTr="00BD629A">
        <w:tc>
          <w:tcPr>
            <w:tcW w:w="2972" w:type="dxa"/>
          </w:tcPr>
          <w:p w:rsidR="00BD629A" w:rsidRPr="00B908AA" w:rsidRDefault="00BD629A" w:rsidP="00BD629A">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TEMA: INCUMPLIMIENTO CONTRACTUAL/ELEMENTOS/EXIGENCIAS PARA SU INICIO</w:t>
            </w:r>
          </w:p>
        </w:tc>
        <w:tc>
          <w:tcPr>
            <w:tcW w:w="5856" w:type="dxa"/>
          </w:tcPr>
          <w:p w:rsidR="00BD629A" w:rsidRPr="00B908AA" w:rsidRDefault="00BD629A" w:rsidP="00BD629A">
            <w:pPr>
              <w:autoSpaceDE w:val="0"/>
              <w:autoSpaceDN w:val="0"/>
              <w:adjustRightInd w:val="0"/>
              <w:jc w:val="center"/>
              <w:rPr>
                <w:rFonts w:ascii="Arial Narrow" w:hAnsi="Arial Narrow" w:cs="Garamond-Bold"/>
                <w:b/>
                <w:bCs/>
                <w:sz w:val="24"/>
                <w:szCs w:val="24"/>
              </w:rPr>
            </w:pPr>
          </w:p>
          <w:p w:rsidR="00BD629A" w:rsidRPr="00B908AA" w:rsidRDefault="00BD629A" w:rsidP="00BD629A">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BD629A" w:rsidRPr="00B908AA" w:rsidTr="00BD629A">
        <w:tc>
          <w:tcPr>
            <w:tcW w:w="2972" w:type="dxa"/>
          </w:tcPr>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 </w:t>
            </w:r>
          </w:p>
        </w:tc>
        <w:tc>
          <w:tcPr>
            <w:tcW w:w="5856" w:type="dxa"/>
          </w:tcPr>
          <w:p w:rsidR="00BD629A" w:rsidRPr="00B908AA" w:rsidRDefault="00BD629A" w:rsidP="00BD629A">
            <w:pPr>
              <w:spacing w:before="100" w:beforeAutospacing="1" w:after="100" w:afterAutospacing="1"/>
              <w:jc w:val="both"/>
              <w:rPr>
                <w:rFonts w:ascii="Arial Narrow" w:hAnsi="Arial Narrow" w:cs="Garamond-Bold"/>
                <w:bCs/>
                <w:sz w:val="24"/>
                <w:szCs w:val="24"/>
              </w:rPr>
            </w:pPr>
            <w:r w:rsidRPr="00B908AA">
              <w:rPr>
                <w:rFonts w:ascii="Arial Narrow" w:hAnsi="Arial Narrow" w:cs="Garamond-Bold"/>
                <w:bCs/>
                <w:sz w:val="24"/>
                <w:szCs w:val="24"/>
              </w:rPr>
              <w:t xml:space="preserve">(…) </w:t>
            </w:r>
            <w:r w:rsidRPr="00621CEE">
              <w:rPr>
                <w:rFonts w:ascii="Arial Narrow" w:hAnsi="Arial Narrow"/>
                <w:sz w:val="24"/>
                <w:szCs w:val="24"/>
                <w:lang w:eastAsia="es-CO"/>
              </w:rPr>
              <w:t>El artículo 86 de la Ley 1474 de 2011 sobre el procedimiento para la imposición de multas, sanciones y declaratoria de incumplimiento establece lo siguiente:  Artículo 86. Imposición de multas, sanciones y declaratorias de incumplimiento. Las entidades sometidas al Estatuto General de Contratación de la Administración Pública podrán declarar el incumplimiento, cuantificando los perjuicios del mismo, imponer las multas y sanciones pactadas en el contrato, y hacer efectiva la cláusula penal. Para tal efecto observarán el siguiente procedimiento:</w:t>
            </w:r>
            <w:r w:rsidRPr="00B908AA">
              <w:rPr>
                <w:rFonts w:ascii="Arial Narrow" w:hAnsi="Arial Narrow"/>
                <w:sz w:val="24"/>
                <w:szCs w:val="24"/>
                <w:lang w:eastAsia="es-CO"/>
              </w:rPr>
              <w:t xml:space="preserve"> </w:t>
            </w:r>
            <w:r w:rsidRPr="00621CEE">
              <w:rPr>
                <w:rFonts w:ascii="Arial Narrow" w:hAnsi="Arial Narrow"/>
                <w:sz w:val="24"/>
                <w:szCs w:val="24"/>
                <w:lang w:eastAsia="es-CO"/>
              </w:rPr>
              <w:t xml:space="preserve">a) Evidenciado un posible incumplimiento de las obligaciones a cargo del contratista, la entidad pública lo citará a audiencia para debatir lo ocurrido. En la citación, hará mención expresa y detallada de los hechos que la soportan, acompañando el informe de interventoría o de supervisión en el que se sustente la actuación y enunciará las normas o cláusulas posiblemente </w:t>
            </w:r>
            <w:r w:rsidRPr="00621CEE">
              <w:rPr>
                <w:rFonts w:ascii="Arial Narrow" w:hAnsi="Arial Narrow"/>
                <w:sz w:val="24"/>
                <w:szCs w:val="24"/>
                <w:lang w:eastAsia="es-CO"/>
              </w:rPr>
              <w:lastRenderedPageBreak/>
              <w:t xml:space="preserve">violadas y las consecuencias que podrían derivarse para el contratista en desarrollo de la actuación. En la misma se establecerá el lugar, fecha y hora para la realización de la audiencia, la que podrá tener lugar a la mayor brevedad posible, atendida la naturaleza del contrato y la periodicidad establecida para el cumplimiento de las obligaciones contractuales. En el evento en que la garantía de cumplimiento consista en póliza de seguros, el garante será citado de la misma manera; b) En desarrollo de la audiencia, el jefe de la entidad o su delegado, presentará las circunstancias de hecho que motivan la actuación, enunciará las posibles normas o cláusulas posiblemente violadas y las consecuencias que podrían derivarse para el contratista en desarrollo de la actuación. Acto seguido se concederá el uso de la palabra al representante legal del contratista o a quien lo represente, y al garante, para que presenten sus descargos, en desarrollo de lo cual podrá rendir las explicaciones del caso, aportar pruebas y controvertir las presentadas por la entidad; c) Hecho lo precedente, mediante resolución motivada en la que se consigne lo ocurrido en desarrollo de la audiencia y la cual se entenderá notificada en dicho acto público, la entidad procederá a decidir sobre la imposición o no de la multa, sanción o declaratoria de incumplimiento. Contra la decisión así proferida sólo procede el recurso de reposición que se interpondrá, sustentará y decidirá en la misma audiencia. La decisión sobre el recurso se entenderá notificada en la misma audiencia; d) En cualquier momento del desarrollo de la audiencia, el jefe de la entidad o su </w:t>
            </w:r>
            <w:r w:rsidR="00FB78B1" w:rsidRPr="00621CEE">
              <w:rPr>
                <w:rFonts w:ascii="Arial Narrow" w:hAnsi="Arial Narrow"/>
                <w:sz w:val="24"/>
                <w:szCs w:val="24"/>
                <w:lang w:eastAsia="es-CO"/>
              </w:rPr>
              <w:t>delegado</w:t>
            </w:r>
            <w:r w:rsidRPr="00621CEE">
              <w:rPr>
                <w:rFonts w:ascii="Arial Narrow" w:hAnsi="Arial Narrow"/>
                <w:sz w:val="24"/>
                <w:szCs w:val="24"/>
                <w:lang w:eastAsia="es-CO"/>
              </w:rPr>
              <w:t xml:space="preserve"> podrá suspender la audiencia cuando de oficio o a petición de parte, ello resulte en su criterio necesario para allegar o practicar pruebas que estime conducentes y pertinentes, o cuando por cualquier otra razón debidamente sustentada, ello resulte necesario para el correcto desarrollo de la actuación administrativa. En todo caso, al adoptar la decisión, se señalará fecha y hora para reanudar la audiencia.</w:t>
            </w:r>
            <w:r w:rsidRPr="00B908AA">
              <w:rPr>
                <w:rFonts w:ascii="Arial Narrow" w:hAnsi="Arial Narrow"/>
                <w:sz w:val="24"/>
                <w:szCs w:val="24"/>
                <w:lang w:eastAsia="es-CO"/>
              </w:rPr>
              <w:t xml:space="preserve"> </w:t>
            </w:r>
            <w:r w:rsidRPr="00621CEE">
              <w:rPr>
                <w:rFonts w:ascii="Arial Narrow" w:hAnsi="Arial Narrow"/>
                <w:sz w:val="24"/>
                <w:szCs w:val="24"/>
                <w:lang w:eastAsia="es-CO"/>
              </w:rPr>
              <w:t>La entidad podrá dar por terminado el procedimiento en cualquier momento, si por algún medio tiene conocimiento de la cesación de situación de incumplimiento. Ahora bien, en lo relacionado con el procedimiento sancionatorio a que hace referencia la norma antes citada, el numeral 21 del manual de contratación de la Secretaría Distrital de Gobierno dispuso:</w:t>
            </w:r>
            <w:r w:rsidRPr="00B908AA">
              <w:rPr>
                <w:rFonts w:ascii="Arial Narrow" w:hAnsi="Arial Narrow"/>
                <w:sz w:val="24"/>
                <w:szCs w:val="24"/>
                <w:lang w:eastAsia="es-CO"/>
              </w:rPr>
              <w:t xml:space="preserve"> </w:t>
            </w:r>
            <w:r w:rsidRPr="00621CEE">
              <w:rPr>
                <w:rFonts w:ascii="Arial Narrow" w:hAnsi="Arial Narrow"/>
                <w:sz w:val="24"/>
                <w:szCs w:val="24"/>
                <w:lang w:eastAsia="es-CO"/>
              </w:rPr>
              <w:t>MEDIDAS CONTRACTUALES - ADOPTARSE FRENTE A INCUMPLIMIENTOS DEL CONTRATISTA</w:t>
            </w:r>
            <w:r w:rsidRPr="00B908AA">
              <w:rPr>
                <w:rFonts w:ascii="Arial Narrow" w:hAnsi="Arial Narrow"/>
                <w:sz w:val="24"/>
                <w:szCs w:val="24"/>
                <w:lang w:eastAsia="es-CO"/>
              </w:rPr>
              <w:t xml:space="preserve">. </w:t>
            </w:r>
            <w:r w:rsidRPr="00621CEE">
              <w:rPr>
                <w:rFonts w:ascii="Arial Narrow" w:hAnsi="Arial Narrow"/>
                <w:sz w:val="24"/>
                <w:szCs w:val="24"/>
                <w:lang w:eastAsia="es-CO"/>
              </w:rPr>
              <w:t xml:space="preserve">La Ley 80 de 1993 modificada por la Ley 1150 de 2007, estableció diferentes medidas encaminadas a constreñir o apremiar al contratista para el cumplimiento del objeto contractual; de igual forma, existen herramientas efectivamente sancionatorias a las que puede acudir la entidad estatal a fin de corregir o castigar el incumplimiento del contratista. Estas medidas son las previstas </w:t>
            </w:r>
            <w:r w:rsidRPr="00621CEE">
              <w:rPr>
                <w:rFonts w:ascii="Arial Narrow" w:hAnsi="Arial Narrow"/>
                <w:sz w:val="24"/>
                <w:szCs w:val="24"/>
                <w:lang w:eastAsia="es-CO"/>
              </w:rPr>
              <w:lastRenderedPageBreak/>
              <w:t xml:space="preserve">en el Estatuto General de la Contratación Pública (Ley 80 de 1993) en la Ley 1150 de 2007 y/o las pactadas en el contrato cuyo incumplimiento se ha presentado. Estos mecanismos son aplicables durante toda la vigencia del contrato y aún después de su culminación (antes de liquidarlo) cuando el contratista no ha satisfecho las prestaciones a su cargo en las condiciones de tiempo, modo y lugar pactadas, lo haya hecho tardíamente o en forma defectuosa, desconociendo con ello sus compromisos contractuales y los deberes que tiene en materia de contratación estatal. De igual manera, estos mecanismos deben adoptarse cuando quiera que las medidas de gestión anteriormente previstas no proporcionen el resultado esperado. Es decir en los casos en que persistan las deficiencias en la ejecución del contrato, cuando las inconformidades no se ajusten y se tornen repetitivas, cuando no se adopten los correctivos e instrucciones impartidos por el supervisor del contrato de forma reiterada, en caso de pre-sentarse falta de cumplimiento al plan de mejoramiento acordado, a los pactos suscritos en reuniones y que consten en actas escritas, y en general, cuando resulte manifiesta la falta de voluntad o la negligencia del contratista para ajustar su actividad a lo descrito en los términos del contrato y sea renuente a los compromisos adquiridos durante su ejecución. Cabe señalar que la imposición de sanciones durante la ejecución del </w:t>
            </w:r>
            <w:r w:rsidR="00FB78B1" w:rsidRPr="00621CEE">
              <w:rPr>
                <w:rFonts w:ascii="Arial Narrow" w:hAnsi="Arial Narrow"/>
                <w:sz w:val="24"/>
                <w:szCs w:val="24"/>
                <w:lang w:eastAsia="es-CO"/>
              </w:rPr>
              <w:t>contrato</w:t>
            </w:r>
            <w:r w:rsidRPr="00621CEE">
              <w:rPr>
                <w:rFonts w:ascii="Arial Narrow" w:hAnsi="Arial Narrow"/>
                <w:sz w:val="24"/>
                <w:szCs w:val="24"/>
                <w:lang w:eastAsia="es-CO"/>
              </w:rPr>
              <w:t xml:space="preserve"> no exime al contratista del cumplimiento de sus obligaciones contractuales. El proceso que deberá seguir la entidad estatal para la imposición de multas, sanciones y declaratorias de incumplimiento es el ordenado en el artículo 86 de la ley 1474 de 2011 y/o cualquiera que la adicione, modifique o derogue. Dentro de las medidas contractuales se pueden mencionar las siguientes: 21.1 IMPOSICIÓN DE MULTAS, SANCIONES Y DECLARATORIAS DE INCUMPLI-MIENTO. De conformidad con el artículo 86 de la Ley 1474 de 2011, la Secretaría Distrital de Gobierno adoptará el siguiente procedimiento para la imposición de multas, sanciones y declaratorias de incumplimiento: Acorde con el acto administrativo de delegación para adelantar el procedimiento de que trata el artículo 86 de la Ley 1474 de 2011 en la Dirección de Contratación de la Secretaría Distrital de Gobierno se establece lo siguiente: Procedimiento Previo a la audiencia de declaratoria de incumplimiento, de imposición de multas y demás sanciones contractuales. REQUERIMIENTO AL CONTRATISTA: Bajo el entendido de que la supervisión o interventoría implica el seguimiento al ejercicio del cumplimiento obligacional por la entidad contratante sobre las obligaciones a cargo del contratista; quienes ejerzan tales calidades deben requerir del contratista los informes, aclaraciones y explicaciones que consideren pertinentes sobre el desarrollo de la ejecución contractual de los </w:t>
            </w:r>
            <w:r w:rsidRPr="00621CEE">
              <w:rPr>
                <w:rFonts w:ascii="Arial Narrow" w:hAnsi="Arial Narrow"/>
                <w:sz w:val="24"/>
                <w:szCs w:val="24"/>
                <w:lang w:eastAsia="es-CO"/>
              </w:rPr>
              <w:lastRenderedPageBreak/>
              <w:t>hechos o circunstancias que puedan constituir actos de corrupción tipificados como conductas punibles o que pue-dan poner o pongan en riesgo el cumplimiento del contrato, o cuando tal incumplimiento se presente de conformidad con el procedimiento de solución de controversias anterior-mente descrito. PARÁGRAFO PRIMERO: En caso de ser satisfactoria para la supervisión y/o interventoría la respuesta al requerimiento presentada por el contratista, no habrá lugar a la aplicación del procedimiento previsto en los artículos siguientes. PARÁGRAFO SEGUNDO: En caso que el contratista no cumpla con el acuerdo estipulado en el acta suscrita en el procedimiento de solución de controversias y persista el incumplimiento, quien ejerza la supervisión y/o interventoría del contrato deberá remitir a la Dirección de Contratación un informe que contenga los siguientes elementos: Una descripción clara y detallada de los hechos. Las razones que se consideran que pueden presentar un incumplimiento de las obligaciones contractuales. Normas o cláusulas posiblemente vulneradas. Consecuencias derivadas por el incumplimiento. Tasación de perjuicios de conformidad con lo estipulado en la cláusula sanción penal pecuniaria que se encuentra inmersa en el contrato</w:t>
            </w:r>
            <w:r w:rsidRPr="00B908AA">
              <w:rPr>
                <w:rFonts w:ascii="Arial Narrow" w:hAnsi="Arial Narrow"/>
                <w:sz w:val="24"/>
                <w:szCs w:val="24"/>
                <w:lang w:eastAsia="es-CO"/>
              </w:rPr>
              <w:t>.</w:t>
            </w:r>
            <w:r w:rsidRPr="00621CEE">
              <w:rPr>
                <w:rFonts w:ascii="Arial Narrow" w:hAnsi="Arial Narrow"/>
                <w:sz w:val="24"/>
                <w:szCs w:val="24"/>
                <w:lang w:eastAsia="es-CO"/>
              </w:rPr>
              <w:t xml:space="preserve"> Documentos, soportes o cualquier medio probatorio que requiera la supervisión o interventoría</w:t>
            </w:r>
            <w:r w:rsidRPr="00B908AA">
              <w:rPr>
                <w:rFonts w:ascii="Arial Narrow" w:hAnsi="Arial Narrow"/>
                <w:sz w:val="24"/>
                <w:szCs w:val="24"/>
                <w:lang w:eastAsia="es-CO"/>
              </w:rPr>
              <w:t>.</w:t>
            </w:r>
            <w:r w:rsidRPr="00621CEE">
              <w:rPr>
                <w:rFonts w:ascii="Arial Narrow" w:hAnsi="Arial Narrow"/>
                <w:sz w:val="24"/>
                <w:szCs w:val="24"/>
                <w:lang w:eastAsia="es-CO"/>
              </w:rPr>
              <w:t xml:space="preserve"> Acta suscrita en el procedimiento de solución de controversias</w:t>
            </w:r>
            <w:r w:rsidRPr="00B908AA">
              <w:rPr>
                <w:rFonts w:ascii="Arial Narrow" w:hAnsi="Arial Narrow"/>
                <w:sz w:val="24"/>
                <w:szCs w:val="24"/>
                <w:lang w:eastAsia="es-CO"/>
              </w:rPr>
              <w:t>.</w:t>
            </w:r>
            <w:r w:rsidRPr="00621CEE">
              <w:rPr>
                <w:rFonts w:ascii="Arial Narrow" w:hAnsi="Arial Narrow"/>
                <w:sz w:val="24"/>
                <w:szCs w:val="24"/>
                <w:lang w:eastAsia="es-CO"/>
              </w:rPr>
              <w:t xml:space="preserve"> Estado de cuenta del contrato. Dicho esto, esta Dirección de Contratación, previa a la citación al contratista para la audiencia de que trata el artículo 86 de la ley 1474 de 2011, deberá contar con el informe de supervisión debidamente ajustado conforme a los parámetros contenidos en el parágrafo segundo numeral 21.1 del Manual de Contratación antes citado, junto con todos los soportes que den cuenta del presunto incumplimiento a cargo del contratista</w:t>
            </w:r>
            <w:r>
              <w:rPr>
                <w:rFonts w:ascii="Arial Narrow" w:hAnsi="Arial Narrow"/>
                <w:sz w:val="24"/>
                <w:szCs w:val="24"/>
                <w:lang w:eastAsia="es-CO"/>
              </w:rPr>
              <w:t>.</w:t>
            </w:r>
          </w:p>
        </w:tc>
      </w:tr>
      <w:tr w:rsidR="00BD629A" w:rsidRPr="00B908AA" w:rsidTr="00BD629A">
        <w:tc>
          <w:tcPr>
            <w:tcW w:w="2972" w:type="dxa"/>
          </w:tcPr>
          <w:p w:rsidR="00BD629A" w:rsidRPr="00B908AA" w:rsidRDefault="00BD629A" w:rsidP="00BD629A">
            <w:pPr>
              <w:autoSpaceDE w:val="0"/>
              <w:autoSpaceDN w:val="0"/>
              <w:adjustRightInd w:val="0"/>
              <w:rPr>
                <w:rFonts w:ascii="Arial Narrow" w:hAnsi="Arial Narrow" w:cs="Garamond-Bold"/>
                <w:b/>
                <w:bCs/>
                <w:sz w:val="24"/>
                <w:szCs w:val="24"/>
              </w:rPr>
            </w:pPr>
            <w:r w:rsidRPr="00527486">
              <w:rPr>
                <w:rFonts w:ascii="Arial Narrow" w:hAnsi="Arial Narrow" w:cs="Garamond-Bold"/>
                <w:b/>
                <w:bCs/>
                <w:sz w:val="24"/>
                <w:szCs w:val="24"/>
              </w:rPr>
              <w:lastRenderedPageBreak/>
              <w:t>Fecha: 22-03-2018</w:t>
            </w:r>
          </w:p>
          <w:p w:rsidR="00BD629A" w:rsidRPr="00B908AA" w:rsidRDefault="00BD629A" w:rsidP="00BD629A">
            <w:pPr>
              <w:autoSpaceDE w:val="0"/>
              <w:autoSpaceDN w:val="0"/>
              <w:adjustRightInd w:val="0"/>
              <w:rPr>
                <w:rFonts w:ascii="Arial Narrow" w:hAnsi="Arial Narrow" w:cs="Garamond-Bold"/>
                <w:b/>
                <w:bCs/>
                <w:sz w:val="24"/>
                <w:szCs w:val="24"/>
              </w:rPr>
            </w:pPr>
          </w:p>
        </w:tc>
        <w:tc>
          <w:tcPr>
            <w:tcW w:w="5856" w:type="dxa"/>
          </w:tcPr>
          <w:p w:rsidR="00BD629A" w:rsidRPr="00B908AA" w:rsidRDefault="00BD629A" w:rsidP="00BD629A">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Dra. Yolanda Villabona. Directora de Contratación Secretaría Distrital de Gobierno.</w:t>
            </w:r>
          </w:p>
        </w:tc>
      </w:tr>
      <w:tr w:rsidR="00BD629A" w:rsidRPr="00B908AA" w:rsidTr="00BD629A">
        <w:tc>
          <w:tcPr>
            <w:tcW w:w="2972" w:type="dxa"/>
          </w:tcPr>
          <w:p w:rsidR="00BD629A" w:rsidRPr="00B908AA" w:rsidRDefault="00BD629A" w:rsidP="00BD629A">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TEMA: INGRESO DE BIENES AL ALMACÉN/ RECONOCIMIENTO DE SUS VALORES EN LA LIQUIDACION DEL CONTRATO</w:t>
            </w:r>
          </w:p>
        </w:tc>
        <w:tc>
          <w:tcPr>
            <w:tcW w:w="5856" w:type="dxa"/>
          </w:tcPr>
          <w:p w:rsidR="00BD629A" w:rsidRPr="00B908AA" w:rsidRDefault="00BD629A" w:rsidP="00BD629A">
            <w:pPr>
              <w:autoSpaceDE w:val="0"/>
              <w:autoSpaceDN w:val="0"/>
              <w:adjustRightInd w:val="0"/>
              <w:jc w:val="center"/>
              <w:rPr>
                <w:rFonts w:ascii="Arial Narrow" w:hAnsi="Arial Narrow" w:cs="Garamond-Bold"/>
                <w:b/>
                <w:bCs/>
                <w:sz w:val="24"/>
                <w:szCs w:val="24"/>
              </w:rPr>
            </w:pPr>
          </w:p>
          <w:p w:rsidR="00BD629A" w:rsidRPr="00B908AA" w:rsidRDefault="00BD629A" w:rsidP="00BD629A">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BD629A" w:rsidRPr="00B908AA" w:rsidTr="00BD629A">
        <w:tc>
          <w:tcPr>
            <w:tcW w:w="2972" w:type="dxa"/>
          </w:tcPr>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 </w:t>
            </w:r>
          </w:p>
        </w:tc>
        <w:tc>
          <w:tcPr>
            <w:tcW w:w="5856" w:type="dxa"/>
          </w:tcPr>
          <w:p w:rsidR="00BD629A" w:rsidRPr="00B908AA" w:rsidRDefault="00BD629A" w:rsidP="00BD629A">
            <w:pPr>
              <w:autoSpaceDE w:val="0"/>
              <w:autoSpaceDN w:val="0"/>
              <w:adjustRightInd w:val="0"/>
              <w:jc w:val="both"/>
              <w:rPr>
                <w:rStyle w:val="l"/>
                <w:rFonts w:ascii="Arial Narrow" w:hAnsi="Arial Narrow"/>
                <w:sz w:val="24"/>
                <w:szCs w:val="24"/>
              </w:rPr>
            </w:pPr>
            <w:r w:rsidRPr="00B908AA">
              <w:rPr>
                <w:rStyle w:val="l"/>
                <w:rFonts w:ascii="Arial Narrow" w:hAnsi="Arial Narrow"/>
                <w:sz w:val="24"/>
                <w:szCs w:val="24"/>
              </w:rPr>
              <w:lastRenderedPageBreak/>
              <w:t xml:space="preserve">(…) El procedimiento para el ingreso de bienes a almacén se encuentra previsto en la Resolución 001 de 2001 del Contador General de Bogotá, la cual señala lo siguiente: “3. INGRESO O ALTAS DE ALMACÉN” que “El ingreso o entrada de bienes según su origen, puede producirse por adquisiciones, donaciones, bienes recibidos en comodato, dación en pago, leasing con opción de compra, remesa o traslado entre bodegas, </w:t>
            </w:r>
            <w:r w:rsidRPr="00B908AA">
              <w:rPr>
                <w:rStyle w:val="l"/>
                <w:rFonts w:ascii="Arial Narrow" w:hAnsi="Arial Narrow"/>
                <w:sz w:val="24"/>
                <w:szCs w:val="24"/>
              </w:rPr>
              <w:lastRenderedPageBreak/>
              <w:t xml:space="preserve">recuperaciones, reposiciones, sobrantes, producción, sentencias y por traspasos entre entidades, entre otros. </w:t>
            </w:r>
          </w:p>
          <w:p w:rsidR="00BD629A" w:rsidRPr="00B908AA" w:rsidRDefault="00BD629A" w:rsidP="00BD629A">
            <w:pPr>
              <w:spacing w:before="100" w:beforeAutospacing="1" w:after="100" w:afterAutospacing="1"/>
              <w:jc w:val="both"/>
              <w:rPr>
                <w:rStyle w:val="l"/>
                <w:rFonts w:ascii="Arial Narrow" w:hAnsi="Arial Narrow"/>
                <w:sz w:val="24"/>
                <w:szCs w:val="24"/>
              </w:rPr>
            </w:pPr>
            <w:r w:rsidRPr="00B908AA">
              <w:rPr>
                <w:rStyle w:val="l"/>
                <w:rFonts w:ascii="Arial Narrow" w:hAnsi="Arial Narrow"/>
                <w:sz w:val="24"/>
                <w:szCs w:val="24"/>
              </w:rPr>
              <w:t xml:space="preserve">El ingreso material y real de los bienes al Almacén y Bodega se considera perfeccionado cuando el almacenista o jefe de Almacén recibe los bienes y firma el comprobante de entrada, único documento oficial válido como soporte para valorizar y legalizar los registros en el Almacén y efectuar los registros en contabilidad. 3.1. PROCEDIMIENTO    ADMINISTRATIVO. La recepción de bienes debe ser realizada por el funcionario responsable del manejo del Almacén y Bodega, por un delegado debidamente autorizado, o por persona responsable y técnicamente capacitada, en el sitio en donde se haya pactado la entrega según el contrato o la orden de compra. 1. De manera general al momento de recibir los elementos, el responsable del Almacén y Bodega atendiendo lo especificado en los documentos que ha debido enviar con anticipación el área responsable de la adquisición y que especifican el origen y aspectos tales como: Tipo de contrato, convenio, actas, remesas, decisiones judiciales, etc. comprobará que la calidad, cantidad, estado y demás especificaciones técnicas, pólizas y garantías, entre otras, se ajustan estrictamente a lo descrito en el contrato, orden de compra, suministro, factura o pedido respectivo. 2. En el caso de necesitarse el concepto de peritos, técnicos o científicos, el responsable de Almacén y Bodega lo solicitará por escrito a un funcionario competente. La certificación por ellos expedida quedará anexa al comprobante de entrada y copia de esta se anexará a la certificación que debe emitir el encargado del control de la ejecución o el interventor del contrato si la transacción así lo requiere. 3. De comprobarse diferencias en las características, cantidades o plazos de entrega, entre lo físico y lo estipulado en el documento que autoriza la transacción, se suspenderá transitoriamente el proceso de recepción y se informará del evento al área que generó el contrato o documento en procura de la correspondiente solución, de no darse, el responsable del Almacén y Bodega o la persona que tiene a cargo el control de ejecución, no recibirá los bienes hasta que se solucione la situación observada.” Ahora bien, en lo relacionado con los diferentes roles y funciones dentro del procedimiento de ingreso de bienes a almacén, la citada resolución precisa lo siguiente: 1- Funcionario encargado del Almacén:  RESOLUCIÓN 001 DE 2001. “2.3.3. ADMINISTRACIÓN Y CONTROL DE LOS BIENES – FUNCIONES. La entidad tendrá un área o funcionario, encargado de mantener actualizadas las novedades, movimientos y saldos de bienes en bodega, servicio o en poder de terceros, debidamente clasificados por cuenta dependencias y responsables. El funcionario encargado del área será </w:t>
            </w:r>
            <w:r w:rsidRPr="00B908AA">
              <w:rPr>
                <w:rStyle w:val="l"/>
                <w:rFonts w:ascii="Arial Narrow" w:hAnsi="Arial Narrow"/>
                <w:sz w:val="24"/>
                <w:szCs w:val="24"/>
              </w:rPr>
              <w:lastRenderedPageBreak/>
              <w:t xml:space="preserve">responsable por la recepción, organización, custodia, manejo, conservación, administración y suministro, de los bienes de propiedad ya cargo de la entidad, al igual que de aquellos entregados para el cumplimiento de las siguientes funciones: (…) 3. Recibir, codificar, plaquetear e ingresar bienes a bodega, previa confrontación de sus características, marcas, modelos, series, tamaños y cantidades, contra los soportes que ordenan o sustentan las operaciones de ingreso.”. RESOLUCIÓN 959 DE 2016 PÁGINA 321 ALCALDÍAS LOCALES -AREA DE GESTIÓN DEL DESARROLLO - ALMACEN </w:t>
            </w:r>
            <w:r w:rsidR="00FB78B1" w:rsidRPr="00B908AA">
              <w:rPr>
                <w:rStyle w:val="l"/>
                <w:rFonts w:ascii="Arial Narrow" w:hAnsi="Arial Narrow"/>
                <w:sz w:val="24"/>
                <w:szCs w:val="24"/>
              </w:rPr>
              <w:t>1. Realizar</w:t>
            </w:r>
            <w:r w:rsidRPr="00B908AA">
              <w:rPr>
                <w:rStyle w:val="l"/>
                <w:rFonts w:ascii="Arial Narrow" w:hAnsi="Arial Narrow"/>
                <w:sz w:val="24"/>
                <w:szCs w:val="24"/>
              </w:rPr>
              <w:t xml:space="preserve"> la recepción, organización, custodia, manejo, conservación, y suministro de los bienes y elementos de consumo, conforme a los procesos, procedimientos y normas legales vigentes.”   Por otra parte, en lo relacionado con las funciones del interventor y/o supervisor del contrato, el Manual de Supervisión e Interventoría - Código:1D-GAR-M006 establece que los supervisores tienen la obligación de: “Velar porque la ejecución del contrato se haga de acuerdo con las especificaciones técnicas contenidas en los estudios previos, establecidas en el pliego de condiciones, la propuesta y el respectivo contrato;” como consecuencia de dicha función, está obligado a realizar entre otras las siguientes actividades: “Requerir en el ingreso al almacén de los elementos adquiridos con cargo a los recursos del   proyecto en ejecución inmediatamente sean adquiridos de acuerdo con los instructivos   establecidos en el procedimiento 1D-GAR-P1. - Conocer todos los documentos en los que están definidas las condiciones o especificaciones de   la ejecución del contrato. - Hacer seguimiento al cumplimiento de los plazos y/o fechas previstas en el cronograma de ejecución. - Requerir   al   contratista   cuando  los bienes  y servicios no se  ejecuten de acuerdo al cronograma,   cuando   el avance de las metas físicas sea inferior al programado,  cuando  no  se  realicen  a tiempo    las   entregas    de   bienes    y servicios, y en general cuando no se dé cumplimiento a lo establecido en el contrato, los pliegos de condiciones, el proyecto, la propuesta  y los lineamientos técnicos de la Alcaldía Local y/o entidad distrital que maneja la política, según el objeto contratado”. De la relación de los hechos soporte de la presente solicitud de concepto se evidencia que, los elementos que no han ingresado a almacén son como consecuencia de la ejecución de contratos que a la fecha ya se encuentran vencidos, y en donde tales elementos si bien es cierto no cuentan con el mencionado registro de ingreso a almacén, estos fueron entregados y recibidos a satisfacción por la Entidad dentro de los plazos de ejecución de los contratos y conforme a las ofertas presentadas por el Contratista y a las especificaciones técnicas señaladas tanto en el Pliego de </w:t>
            </w:r>
            <w:r w:rsidRPr="00B908AA">
              <w:rPr>
                <w:rStyle w:val="l"/>
                <w:rFonts w:ascii="Arial Narrow" w:hAnsi="Arial Narrow"/>
                <w:sz w:val="24"/>
                <w:szCs w:val="24"/>
              </w:rPr>
              <w:lastRenderedPageBreak/>
              <w:t xml:space="preserve">Condiciones como en el contrato. Por consiguiente, y como quiera que, de los hechos narrados por el Fondo de Desarrollo Local, la recepción de los bienes fue realizada durante los plazos de ejecución de los mencionados contratos, se recomienda al Fondo de Desarrollo Local dentro del trámite de liquidación del contrato y previo al pago de las sumas pendiente por cancelar a los Contratistas, realizar de acuerdo con los funciones y competencias asignadas tanto al supervisor como al funcionario responsable del almacén, el ingreso de los bienes en cuestión, siempre que los mismos cuenten con los respectivos soportes de su entrega dentro de los plazos de ejecución de los contratos y conforme a las especificaciones y términos definidos tanto en el Pliego de Condiciones como en el contrato. Por lo anteriormente expuesto corresponde al Fondo de Desarrollo Local de (…), evaluar y decidir acerca de aceptar o no las recomendaciones plasmadas en el presente documento, esto de conformidad con las normas que ilustran el sistema de contratación pública, esto en observancia de la Directiva Distrital No. 012 de 2016. </w:t>
            </w:r>
          </w:p>
        </w:tc>
      </w:tr>
      <w:tr w:rsidR="00BD629A" w:rsidRPr="00B908AA" w:rsidTr="00BD629A">
        <w:tc>
          <w:tcPr>
            <w:tcW w:w="2972" w:type="dxa"/>
          </w:tcPr>
          <w:p w:rsidR="00BD629A" w:rsidRPr="00B908AA" w:rsidRDefault="00BD629A" w:rsidP="00BD629A">
            <w:pPr>
              <w:autoSpaceDE w:val="0"/>
              <w:autoSpaceDN w:val="0"/>
              <w:adjustRightInd w:val="0"/>
              <w:rPr>
                <w:rFonts w:ascii="Arial Narrow" w:hAnsi="Arial Narrow" w:cs="Garamond-Bold"/>
                <w:b/>
                <w:bCs/>
                <w:sz w:val="24"/>
                <w:szCs w:val="24"/>
              </w:rPr>
            </w:pPr>
            <w:r w:rsidRPr="0030605A">
              <w:rPr>
                <w:rFonts w:ascii="Arial Narrow" w:hAnsi="Arial Narrow" w:cs="Garamond-Bold"/>
                <w:b/>
                <w:bCs/>
                <w:sz w:val="24"/>
                <w:szCs w:val="24"/>
              </w:rPr>
              <w:lastRenderedPageBreak/>
              <w:t>Fecha: 18-08-2017</w:t>
            </w:r>
          </w:p>
          <w:p w:rsidR="00BD629A" w:rsidRPr="00B908AA" w:rsidRDefault="00BD629A" w:rsidP="00BD629A">
            <w:pPr>
              <w:autoSpaceDE w:val="0"/>
              <w:autoSpaceDN w:val="0"/>
              <w:adjustRightInd w:val="0"/>
              <w:rPr>
                <w:rFonts w:ascii="Arial Narrow" w:hAnsi="Arial Narrow" w:cs="Garamond-Bold"/>
                <w:b/>
                <w:bCs/>
                <w:sz w:val="24"/>
                <w:szCs w:val="24"/>
              </w:rPr>
            </w:pPr>
          </w:p>
        </w:tc>
        <w:tc>
          <w:tcPr>
            <w:tcW w:w="5856" w:type="dxa"/>
          </w:tcPr>
          <w:p w:rsidR="00BD629A" w:rsidRPr="00B908AA" w:rsidRDefault="00BD629A" w:rsidP="00BD629A">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Dra. Yolanda Villabona. Directora de Contratación Secretaría Distrital de Gobierno.</w:t>
            </w:r>
          </w:p>
        </w:tc>
      </w:tr>
      <w:tr w:rsidR="00BD629A" w:rsidRPr="00B908AA" w:rsidTr="00BD629A">
        <w:tc>
          <w:tcPr>
            <w:tcW w:w="2972" w:type="dxa"/>
          </w:tcPr>
          <w:p w:rsidR="00BD629A" w:rsidRPr="00B908AA" w:rsidRDefault="00BD629A" w:rsidP="00BD629A">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TEMA: LICITACIÓN PÚBLICA </w:t>
            </w:r>
            <w:r>
              <w:rPr>
                <w:rFonts w:ascii="Arial Narrow" w:hAnsi="Arial Narrow" w:cs="Garamond-Bold"/>
                <w:b/>
                <w:bCs/>
                <w:sz w:val="24"/>
                <w:szCs w:val="24"/>
              </w:rPr>
              <w:t xml:space="preserve">/NO PROCEDE </w:t>
            </w:r>
            <w:r w:rsidRPr="00B908AA">
              <w:rPr>
                <w:rFonts w:ascii="Arial Narrow" w:hAnsi="Arial Narrow" w:cs="Garamond-Bold"/>
                <w:b/>
                <w:bCs/>
                <w:sz w:val="24"/>
                <w:szCs w:val="24"/>
              </w:rPr>
              <w:t xml:space="preserve">PARA CONTRATAR ARRENDAMIENTO </w:t>
            </w:r>
            <w:r>
              <w:rPr>
                <w:rFonts w:ascii="Arial Narrow" w:hAnsi="Arial Narrow" w:cs="Garamond-Bold"/>
                <w:b/>
                <w:bCs/>
                <w:sz w:val="24"/>
                <w:szCs w:val="24"/>
              </w:rPr>
              <w:t xml:space="preserve">EN </w:t>
            </w:r>
            <w:r w:rsidRPr="00B908AA">
              <w:rPr>
                <w:rFonts w:ascii="Arial Narrow" w:hAnsi="Arial Narrow" w:cs="Garamond-Bold"/>
                <w:b/>
                <w:bCs/>
                <w:sz w:val="24"/>
                <w:szCs w:val="24"/>
              </w:rPr>
              <w:t>LEY DE GARANTÍAS</w:t>
            </w:r>
          </w:p>
        </w:tc>
        <w:tc>
          <w:tcPr>
            <w:tcW w:w="5856" w:type="dxa"/>
          </w:tcPr>
          <w:p w:rsidR="00BD629A" w:rsidRPr="00B908AA" w:rsidRDefault="00BD629A" w:rsidP="00BD629A">
            <w:pPr>
              <w:autoSpaceDE w:val="0"/>
              <w:autoSpaceDN w:val="0"/>
              <w:adjustRightInd w:val="0"/>
              <w:rPr>
                <w:rFonts w:ascii="Arial Narrow" w:hAnsi="Arial Narrow" w:cs="Garamond-Bold"/>
                <w:b/>
                <w:bCs/>
                <w:sz w:val="24"/>
                <w:szCs w:val="24"/>
              </w:rPr>
            </w:pPr>
          </w:p>
          <w:p w:rsidR="00BD629A" w:rsidRPr="00B908AA" w:rsidRDefault="00BD629A" w:rsidP="00BD629A">
            <w:pPr>
              <w:autoSpaceDE w:val="0"/>
              <w:autoSpaceDN w:val="0"/>
              <w:adjustRightInd w:val="0"/>
              <w:rPr>
                <w:rFonts w:ascii="Arial Narrow" w:hAnsi="Arial Narrow" w:cs="Garamond-Bold"/>
                <w:b/>
                <w:bCs/>
                <w:sz w:val="24"/>
                <w:szCs w:val="24"/>
              </w:rPr>
            </w:pPr>
          </w:p>
          <w:p w:rsidR="00BD629A" w:rsidRPr="00B908AA" w:rsidRDefault="00BD629A" w:rsidP="00BD629A">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BD629A" w:rsidRPr="00B908AA" w:rsidTr="00BD629A">
        <w:tc>
          <w:tcPr>
            <w:tcW w:w="2972" w:type="dxa"/>
          </w:tcPr>
          <w:p w:rsidR="00BD629A" w:rsidRPr="00B908AA" w:rsidRDefault="00BD629A" w:rsidP="00BD629A">
            <w:pPr>
              <w:autoSpaceDE w:val="0"/>
              <w:autoSpaceDN w:val="0"/>
              <w:adjustRightInd w:val="0"/>
              <w:rPr>
                <w:rFonts w:ascii="Arial Narrow" w:hAnsi="Arial Narrow" w:cs="Garamond-Bold"/>
                <w:b/>
                <w:bCs/>
                <w:sz w:val="24"/>
                <w:szCs w:val="24"/>
              </w:rPr>
            </w:pPr>
          </w:p>
          <w:p w:rsidR="00BD629A" w:rsidRPr="00B908AA" w:rsidRDefault="00BD629A" w:rsidP="00BD629A">
            <w:pPr>
              <w:autoSpaceDE w:val="0"/>
              <w:autoSpaceDN w:val="0"/>
              <w:adjustRightInd w:val="0"/>
              <w:rPr>
                <w:rFonts w:ascii="Arial Narrow" w:hAnsi="Arial Narrow" w:cs="Garamond-Bold"/>
                <w:b/>
                <w:bCs/>
                <w:sz w:val="24"/>
                <w:szCs w:val="24"/>
              </w:rPr>
            </w:pPr>
          </w:p>
          <w:p w:rsidR="00BD629A" w:rsidRPr="00B908AA" w:rsidRDefault="00BD629A" w:rsidP="00BD629A">
            <w:pPr>
              <w:autoSpaceDE w:val="0"/>
              <w:autoSpaceDN w:val="0"/>
              <w:adjustRightInd w:val="0"/>
              <w:rPr>
                <w:rFonts w:ascii="Arial Narrow" w:hAnsi="Arial Narrow" w:cs="Garamond-Bold"/>
                <w:b/>
                <w:bCs/>
                <w:sz w:val="24"/>
                <w:szCs w:val="24"/>
              </w:rPr>
            </w:pPr>
          </w:p>
          <w:p w:rsidR="00BD629A" w:rsidRPr="00B908AA" w:rsidRDefault="00BD629A" w:rsidP="00BD629A">
            <w:pPr>
              <w:autoSpaceDE w:val="0"/>
              <w:autoSpaceDN w:val="0"/>
              <w:adjustRightInd w:val="0"/>
              <w:rPr>
                <w:rFonts w:ascii="Arial Narrow" w:hAnsi="Arial Narrow" w:cs="Garamond-Bold"/>
                <w:b/>
                <w:bCs/>
                <w:sz w:val="24"/>
                <w:szCs w:val="24"/>
              </w:rPr>
            </w:pPr>
          </w:p>
          <w:p w:rsidR="00BD629A" w:rsidRPr="00B908AA" w:rsidRDefault="00BD629A" w:rsidP="00BD629A">
            <w:pPr>
              <w:autoSpaceDE w:val="0"/>
              <w:autoSpaceDN w:val="0"/>
              <w:adjustRightInd w:val="0"/>
              <w:rPr>
                <w:rFonts w:ascii="Arial Narrow" w:hAnsi="Arial Narrow" w:cs="Garamond-Bold"/>
                <w:b/>
                <w:bCs/>
                <w:sz w:val="24"/>
                <w:szCs w:val="24"/>
              </w:rPr>
            </w:pPr>
          </w:p>
          <w:p w:rsidR="00BD629A" w:rsidRPr="00B908AA" w:rsidRDefault="00BD629A" w:rsidP="00BD629A">
            <w:pPr>
              <w:autoSpaceDE w:val="0"/>
              <w:autoSpaceDN w:val="0"/>
              <w:adjustRightInd w:val="0"/>
              <w:rPr>
                <w:rFonts w:ascii="Arial Narrow" w:hAnsi="Arial Narrow" w:cs="Garamond-Bold"/>
                <w:b/>
                <w:bCs/>
                <w:sz w:val="24"/>
                <w:szCs w:val="24"/>
              </w:rPr>
            </w:pPr>
          </w:p>
          <w:p w:rsidR="00BD629A" w:rsidRPr="00B908AA" w:rsidRDefault="00BD629A" w:rsidP="00BD629A">
            <w:pPr>
              <w:autoSpaceDE w:val="0"/>
              <w:autoSpaceDN w:val="0"/>
              <w:adjustRightInd w:val="0"/>
              <w:rPr>
                <w:rFonts w:ascii="Arial Narrow" w:hAnsi="Arial Narrow" w:cs="Garamond-Bold"/>
                <w:b/>
                <w:bCs/>
                <w:sz w:val="24"/>
                <w:szCs w:val="24"/>
              </w:rPr>
            </w:pPr>
          </w:p>
          <w:p w:rsidR="00BD629A" w:rsidRPr="00B908AA" w:rsidRDefault="00BD629A" w:rsidP="00BD629A">
            <w:pPr>
              <w:autoSpaceDE w:val="0"/>
              <w:autoSpaceDN w:val="0"/>
              <w:adjustRightInd w:val="0"/>
              <w:rPr>
                <w:rFonts w:ascii="Arial Narrow" w:hAnsi="Arial Narrow" w:cs="Garamond-Bold"/>
                <w:b/>
                <w:bCs/>
                <w:sz w:val="24"/>
                <w:szCs w:val="24"/>
              </w:rPr>
            </w:pPr>
          </w:p>
          <w:p w:rsidR="00BD629A" w:rsidRPr="00B908AA" w:rsidRDefault="00BD629A" w:rsidP="00BD629A">
            <w:pPr>
              <w:autoSpaceDE w:val="0"/>
              <w:autoSpaceDN w:val="0"/>
              <w:adjustRightInd w:val="0"/>
              <w:rPr>
                <w:rFonts w:ascii="Arial Narrow" w:hAnsi="Arial Narrow" w:cs="Garamond-Bold"/>
                <w:b/>
                <w:bCs/>
                <w:sz w:val="24"/>
                <w:szCs w:val="24"/>
              </w:rPr>
            </w:pPr>
          </w:p>
          <w:p w:rsidR="00BD629A" w:rsidRPr="00B908AA" w:rsidRDefault="00BD629A" w:rsidP="00BD629A">
            <w:pPr>
              <w:autoSpaceDE w:val="0"/>
              <w:autoSpaceDN w:val="0"/>
              <w:adjustRightInd w:val="0"/>
              <w:rPr>
                <w:rFonts w:ascii="Arial Narrow" w:hAnsi="Arial Narrow" w:cs="Garamond-Bold"/>
                <w:b/>
                <w:bCs/>
                <w:sz w:val="24"/>
                <w:szCs w:val="24"/>
              </w:rPr>
            </w:pPr>
          </w:p>
          <w:p w:rsidR="00BD629A" w:rsidRPr="00B908AA" w:rsidRDefault="00BD629A" w:rsidP="00BD629A">
            <w:pPr>
              <w:autoSpaceDE w:val="0"/>
              <w:autoSpaceDN w:val="0"/>
              <w:adjustRightInd w:val="0"/>
              <w:rPr>
                <w:rFonts w:ascii="Arial Narrow" w:hAnsi="Arial Narrow" w:cs="Garamond-Bold"/>
                <w:b/>
                <w:bCs/>
                <w:sz w:val="24"/>
                <w:szCs w:val="24"/>
              </w:rPr>
            </w:pPr>
          </w:p>
        </w:tc>
        <w:tc>
          <w:tcPr>
            <w:tcW w:w="5856" w:type="dxa"/>
          </w:tcPr>
          <w:p w:rsidR="00BD629A" w:rsidRPr="00B908AA" w:rsidRDefault="00BD629A" w:rsidP="00BD629A">
            <w:pPr>
              <w:autoSpaceDE w:val="0"/>
              <w:autoSpaceDN w:val="0"/>
              <w:adjustRightInd w:val="0"/>
              <w:jc w:val="both"/>
              <w:rPr>
                <w:rFonts w:ascii="Arial Narrow" w:hAnsi="Arial Narrow" w:cs="Garamond-Bold"/>
                <w:bCs/>
                <w:sz w:val="24"/>
                <w:szCs w:val="24"/>
              </w:rPr>
            </w:pPr>
            <w:r w:rsidRPr="00B908AA">
              <w:rPr>
                <w:rFonts w:ascii="Arial Narrow" w:hAnsi="Arial Narrow" w:cs="Garamond-Bold"/>
                <w:bCs/>
                <w:sz w:val="24"/>
                <w:szCs w:val="24"/>
              </w:rPr>
              <w:t xml:space="preserve">(…) Se indaga sobre la viabilidad de acudir a un proceso competitivo (licitación Pública o selección abreviada) como proceso de selección para contratar el arrendamiento de una sede para la Alcaldía de Usaquén, por parte del Fondo de Desarrollo de dicha Localidad. El objeto de la consulta radica en que, en la actualidad, y debido a las elecciones presidenciales del próximo 27 de mayo, se encuentra en vigencia la prohibición de contratación directa contenida en el artículo 33 de la Ley 996 de 2005 – ley de garantías electorales, razón por la cual no es posible celebrar un contrato de arrendamiento a través de esta modalidad, que es la establecida por la Ley, para esta clase de contratos. En consecuencia, se requiere determinar si, dada esta prohibición, es posible celebrar un contrato de arrendamiento haciendo uso de las modalidades de licitación pública o selección abreviada, como procedimiento general para la selección de contratistas del Estado. </w:t>
            </w:r>
            <w:r w:rsidRPr="00B908AA">
              <w:rPr>
                <w:rFonts w:ascii="Arial Narrow" w:hAnsi="Arial Narrow" w:cs="Garamond-Bold"/>
                <w:b/>
                <w:bCs/>
                <w:sz w:val="24"/>
                <w:szCs w:val="24"/>
              </w:rPr>
              <w:t xml:space="preserve">Concepto: </w:t>
            </w:r>
            <w:r w:rsidRPr="00B908AA">
              <w:rPr>
                <w:rFonts w:ascii="Arial Narrow" w:hAnsi="Arial Narrow" w:cs="Garamond-Bold"/>
                <w:bCs/>
                <w:sz w:val="24"/>
                <w:szCs w:val="24"/>
              </w:rPr>
              <w:t xml:space="preserve">En nuestro concepto no es posible acudir a un proceso competitivo (licitación o selección abreviada) cuando la ley establece que determinado tipo de contrato debe celebrarse a través de contratación directa, por los siguientes motivos: 1.- El numeral 1 del artículo 24 de la Ley 80 de 1993 establecía que “la escogencia del contratista se efectuará “siempre a través de licitación o concurso público, salvo </w:t>
            </w:r>
            <w:r w:rsidRPr="00B908AA">
              <w:rPr>
                <w:rFonts w:ascii="Arial Narrow" w:hAnsi="Arial Narrow" w:cs="Garamond-Bold"/>
                <w:bCs/>
                <w:sz w:val="24"/>
                <w:szCs w:val="24"/>
              </w:rPr>
              <w:lastRenderedPageBreak/>
              <w:t xml:space="preserve">en los siguientes casos en los que se podrá contratar directamente”; e identificaba, a renglón seguido, los eventos en los cuales podría celebrarse el contrato prescindiendo de la licitación, listado dentro del cual estaba el contrato de arrendamiento. La lectura de esa disposición – especialmente cuando señala que se podrá contratar directamente – haría pensar que las entidades tenían la </w:t>
            </w:r>
            <w:r w:rsidRPr="00B908AA">
              <w:rPr>
                <w:rFonts w:ascii="Arial Narrow" w:hAnsi="Arial Narrow" w:cs="Garamond-Bold"/>
                <w:bCs/>
                <w:i/>
                <w:sz w:val="24"/>
                <w:szCs w:val="24"/>
              </w:rPr>
              <w:t>facultad</w:t>
            </w:r>
            <w:r w:rsidRPr="00B908AA">
              <w:rPr>
                <w:rFonts w:ascii="Arial Narrow" w:hAnsi="Arial Narrow" w:cs="Garamond-Bold"/>
                <w:bCs/>
                <w:sz w:val="24"/>
                <w:szCs w:val="24"/>
              </w:rPr>
              <w:t xml:space="preserve"> de acudir a la contratación directa o a la licitación pública, como regla general. No obstante lo anterior, de la revisión de los antecedentes de la Ley 80 de 1993, resulta claro que ésta contempló las excepciones al procedimiento reglado de selección objetiva en función de la naturaleza o el objeto del contrato, identificando los casos en los cuales resultaba innecesario, inapropiado o inconveniente acudir al proceso de selección (…) Así las cosas, desde la misma Ley 80 de 1993, aunque es claro que la modalidad que por excelencia se utiliza es la licitación, dicha modalidad no es un mecanismo residual de selección al cual puedan acudir las entidades estatales en los eventos en los cuales, pese a estar previsto un modo de selección distinto, este no pueda emplearse (…) 3.- La determinación del legislador de acudir a la contratación directa, no obedece solo a motivos de celeridad en la contratación, sino que responde – fundamentalmente – a que dada la naturaleza y el objeto del contrato, es necesario acudir a otro mecanismo porque la licitación o el mecanismo competitivo no resultan adecuados. 4.- Ahora bien, la Ley 1150 de 2007 derogó el numeral 1 del artículo 24 de la ley 80 de 1993 ya citado, para señalar, en el artículo 2, que “la escogencia del contratista se efectuará con arreglo a las modalidades de selección de licitación pública, selección abreviada, concurso de méritos y contratación directa” (…) De la norma anterior también resulta importante destacar la obligación a cargo de la entidad estatal de </w:t>
            </w:r>
            <w:r w:rsidRPr="00B908AA">
              <w:rPr>
                <w:rFonts w:ascii="Arial Narrow" w:hAnsi="Arial Narrow" w:cs="Garamond-Bold"/>
                <w:bCs/>
                <w:i/>
                <w:sz w:val="24"/>
                <w:szCs w:val="24"/>
              </w:rPr>
              <w:t>justificar</w:t>
            </w:r>
            <w:r w:rsidRPr="00B908AA">
              <w:rPr>
                <w:rFonts w:ascii="Arial Narrow" w:hAnsi="Arial Narrow" w:cs="Garamond-Bold"/>
                <w:bCs/>
                <w:sz w:val="24"/>
                <w:szCs w:val="24"/>
              </w:rPr>
              <w:t xml:space="preserve"> la modalidad de selección que se escoge; y no existe ninguna razón que pueda sustentar que un contrato de arrendamiento que de acuerdo con la ley debe celebrarse mediante contratación directa, se celebre mediante un proceso de selección. No sobra señalar que, de ninguna manera, puede ser una causal justificativa la necesidad de realizar el contrato en un período en el que la celebración de contratos de manera directa está prohibida (…) Ahora bien, la previsión legal acerca de que el contrato de arrendamiento se celebre directamente obedece a que, en estos casos, así existan varias opciones en el mercado, la selección del inmueble no se puede hacer a través de la comparación objetiva de factores técnicos o económicos (…) El decreto único de contratación (Decreto 1082 de 2015), establece unos criterios que deben seguirse para la contratación directa de contratos de arrendamiento, que son: i) Verificar las condiciones del mercado; ii) analizar y comparar las condiciones de los bienes </w:t>
            </w:r>
            <w:r w:rsidRPr="00B908AA">
              <w:rPr>
                <w:rFonts w:ascii="Arial Narrow" w:hAnsi="Arial Narrow" w:cs="Garamond-Bold"/>
                <w:bCs/>
                <w:sz w:val="24"/>
                <w:szCs w:val="24"/>
              </w:rPr>
              <w:lastRenderedPageBreak/>
              <w:t>que satisfacen las necesidades y las opciones de arrendamiento (…) los principios de la selección objetiva sobre los cuales están estructurados los procesos de licitación y selección abreviada no son compatibles con el procedimiento que debe adelantar la entidad para celebrar un contrato de arrendamiento en calidad de arrendataria. La entidad debe aplicar unos criterios de análisis del mercado y valoración de la mejor opción, según las necesidades de la entidad que no son propios de la licitación pública (…) Los procedimientos de selección de contratistas están contenidos en normas de orden público, que no pueden ser objeto de modificación por parte de las entidades y que deben respetar, so pena de nulidad de los contratos que celebren con su desconocimiento. Por lo anterior, en nuestro concepto no es posible celebrar el mencionado contrato de arrendamiento bajo el procedimiento de licitación o selección abreviada.</w:t>
            </w:r>
          </w:p>
          <w:p w:rsidR="00BD629A" w:rsidRPr="00B908AA" w:rsidRDefault="00BD629A" w:rsidP="00BD629A">
            <w:pPr>
              <w:autoSpaceDE w:val="0"/>
              <w:autoSpaceDN w:val="0"/>
              <w:adjustRightInd w:val="0"/>
              <w:jc w:val="both"/>
              <w:rPr>
                <w:rFonts w:ascii="Arial Narrow" w:hAnsi="Arial Narrow" w:cs="Garamond-Bold"/>
                <w:bCs/>
                <w:sz w:val="24"/>
                <w:szCs w:val="24"/>
              </w:rPr>
            </w:pPr>
          </w:p>
        </w:tc>
      </w:tr>
      <w:tr w:rsidR="00BD629A" w:rsidRPr="00B908AA" w:rsidTr="00BD629A">
        <w:tc>
          <w:tcPr>
            <w:tcW w:w="2972" w:type="dxa"/>
          </w:tcPr>
          <w:p w:rsidR="00BD629A" w:rsidRPr="00B908AA" w:rsidRDefault="00BD629A" w:rsidP="00BD629A">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lastRenderedPageBreak/>
              <w:t>Fecha: 27-03-2018</w:t>
            </w:r>
          </w:p>
        </w:tc>
        <w:tc>
          <w:tcPr>
            <w:tcW w:w="5856" w:type="dxa"/>
          </w:tcPr>
          <w:p w:rsidR="00BD629A" w:rsidRPr="00B908AA" w:rsidRDefault="00BD629A" w:rsidP="00BD629A">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 Martín Bermúdez Muñoz. Asesor Dirección de Contratación Secretaría Distrital de Gobierno.</w:t>
            </w:r>
          </w:p>
        </w:tc>
      </w:tr>
      <w:tr w:rsidR="00BD629A" w:rsidRPr="00B908AA" w:rsidTr="00BD629A">
        <w:trPr>
          <w:trHeight w:val="240"/>
        </w:trPr>
        <w:tc>
          <w:tcPr>
            <w:tcW w:w="2972" w:type="dxa"/>
          </w:tcPr>
          <w:p w:rsidR="00BD629A" w:rsidRPr="00B908AA" w:rsidRDefault="00BD629A" w:rsidP="00BD629A">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TEMA:  LIQUIDACIÓN CONTRATOS/TÉRMINO/PAGO DE LO ADEUDADO A CONTRATISTAS</w:t>
            </w:r>
          </w:p>
        </w:tc>
        <w:tc>
          <w:tcPr>
            <w:tcW w:w="5856" w:type="dxa"/>
          </w:tcPr>
          <w:p w:rsidR="00BD629A" w:rsidRPr="00B908AA" w:rsidRDefault="00BD629A" w:rsidP="00BD629A">
            <w:pPr>
              <w:autoSpaceDE w:val="0"/>
              <w:autoSpaceDN w:val="0"/>
              <w:adjustRightInd w:val="0"/>
              <w:jc w:val="center"/>
              <w:rPr>
                <w:rFonts w:ascii="Arial Narrow" w:hAnsi="Arial Narrow" w:cs="Garamond-Bold"/>
                <w:b/>
                <w:bCs/>
                <w:sz w:val="24"/>
                <w:szCs w:val="24"/>
              </w:rPr>
            </w:pPr>
          </w:p>
          <w:p w:rsidR="00BD629A" w:rsidRPr="00B908AA" w:rsidRDefault="00BD629A" w:rsidP="00BD629A">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BD629A" w:rsidRPr="00B908AA" w:rsidTr="00BD629A">
        <w:tc>
          <w:tcPr>
            <w:tcW w:w="2972" w:type="dxa"/>
          </w:tcPr>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Cs/>
                <w:sz w:val="24"/>
                <w:szCs w:val="24"/>
              </w:rPr>
            </w:pPr>
          </w:p>
          <w:p w:rsidR="00BD629A" w:rsidRPr="00B908AA" w:rsidRDefault="00BD629A" w:rsidP="00BD629A">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 </w:t>
            </w:r>
          </w:p>
        </w:tc>
        <w:tc>
          <w:tcPr>
            <w:tcW w:w="5856" w:type="dxa"/>
          </w:tcPr>
          <w:p w:rsidR="00BD629A" w:rsidRPr="00B908AA" w:rsidRDefault="00BD629A" w:rsidP="00BD629A">
            <w:pPr>
              <w:pStyle w:val="Standard"/>
              <w:jc w:val="both"/>
              <w:rPr>
                <w:rFonts w:ascii="Arial Narrow" w:eastAsiaTheme="minorHAnsi" w:hAnsi="Arial Narrow" w:cs="Garamond-Bold"/>
                <w:bCs/>
                <w:color w:val="auto"/>
                <w:sz w:val="24"/>
                <w:szCs w:val="24"/>
                <w:lang w:eastAsia="en-US"/>
              </w:rPr>
            </w:pPr>
            <w:r w:rsidRPr="00B908AA">
              <w:rPr>
                <w:rFonts w:ascii="Arial Narrow" w:eastAsiaTheme="minorHAnsi" w:hAnsi="Arial Narrow" w:cs="Garamond-Bold"/>
                <w:bCs/>
                <w:color w:val="auto"/>
                <w:sz w:val="24"/>
                <w:szCs w:val="24"/>
                <w:lang w:eastAsia="en-US"/>
              </w:rPr>
              <w:t xml:space="preserve">Se pregunta sobre el procedimiento que debe seguir el Fondo de Desarrollo Local para adelantar la liquidación de los contratos de vigencias anteriores a 2018, respecto de la documentación que deben allegar los contratistas para surtir este trámite. Se solicitan parámetros para actuar en aquellos casos en los que los contratistas allegan documentación sin firmas de quienes realizaban el apoyo a la supervisión y documentos que no cuentan con la firma del ordenador del gasto de la época en la que se ejecutó el contrato, en el sentido de proceder a realizar la liquidación de los contratos que se encuentren en esa situación con la firma del Alcalde Local actual o si procede la liberación de saldos. Sobre el particular, es necesario señalar los lineamientos generales con respecto a la figura de Liquidación de Contratos Estatales, a partir de los cuales se precisará la respuesta a la inquietud planteada, para definir el curso de acción en los eventos en los que no se cuenta con los soportes y documentos suscritos por quienes fungieron en su momento como ordenadores del gasto, supervisores o interventores de contrato, o apoyos a la supervisión.  Sea lo primero señalar que los contratos estatales a diferencia de los estudiados en el derecho privado contienen aspectos que los hacen diferentes, dada la finalidad que los mismos persiguen y que se concretizan en ser instrumentos de gestión administrativa que permiten el cumplimiento de los fines estatales. Uno de estos aspectos se refiere a la liquidación de los contratos del Estado, la cual según </w:t>
            </w:r>
            <w:r w:rsidRPr="00B908AA">
              <w:rPr>
                <w:rFonts w:ascii="Arial Narrow" w:eastAsiaTheme="minorHAnsi" w:hAnsi="Arial Narrow" w:cs="Garamond-Bold"/>
                <w:bCs/>
                <w:color w:val="auto"/>
                <w:sz w:val="24"/>
                <w:szCs w:val="24"/>
                <w:lang w:eastAsia="en-US"/>
              </w:rPr>
              <w:lastRenderedPageBreak/>
              <w:t>el entendimiento que se ha efectuado de la normatividad que establece este parámetro, es un momento posterior a la conclusión del plazo acordado por las partes del negocio jurídico para observar las diferentes cargas obligacionales surgidas del contrato. Dicho lapso busca concluir la relación negocial previamente confeccionada, determinando en cada caso el nivel de cumplimiento del objeto acordado y sus obligaciones, pero además busca determinar los saldos económicos pendientes por cancelar. En cuanto a los fundamentos de la liquidación de los contratos del Estado ha señalado la Sección Tercera de la Sala de lo Contencioso Administrativo del Consejo de Estado lo siguiente: "(...) La liquidación es una operación administrativa que sobreviene a la finalización de un contrato, por cumplimiento del plazo anticipadamente, con el propósito de establecer, de modo definitivo, las obligaciones y derechos pecuniarias de las partes y su cuantía. La liquidación del contrato entonces constituye su balance final o ajuste de cuentas, entre la administración contratante y el particular contratista, con miras a finiquitar de una vez por toda la relación jurídica obligacional. Siendo así, el acta de liquidación final deberá i) identificar el contrato, las partes, sus sucesores y los cesionarios si los hay: su objeto y alcance, ii) determinar el precio, su pago, amortización o modificación y oportunidades de pago, iii) señalar las actas pendientes de pago, la forma como se utilizó el anticipo y lo facturado por el contratista, iv) establecer el plazo, las modificaciones de obligaciones, prórrogas. adiciones, suspensiones y reinicios y las sumas que quedan pendientes de cancelar. También en el acta las partes dan cuenta de las salvedades a que haya lugar de manera detallada y concreta ... "1 (Cursiva por fuera del texto original). En este contexto y utilizando lo señalado por aquel cuerpo colegiado podremos sostener que la liquidación de los contratos constituye la terminación auténtica de la relación contractual y es por ello, la expresión final de la autonomía de la voluntad de las partes que bien pueden disponer de sus derechos y obligaciones. Por ello, se trata entonces de un balance de las cuentas pendientes entre las partes, quienes acogen de manera conjunta las determinaciones allí establecidas.</w:t>
            </w:r>
            <w:r w:rsidRPr="00B908AA">
              <w:rPr>
                <w:rFonts w:ascii="Arial Narrow" w:eastAsiaTheme="minorHAnsi" w:hAnsi="Arial Narrow" w:cs="Garamond-Bold"/>
                <w:bCs/>
                <w:color w:val="auto"/>
                <w:sz w:val="24"/>
                <w:szCs w:val="24"/>
                <w:lang w:eastAsia="en-US"/>
              </w:rPr>
              <w:footnoteReference w:id="8"/>
            </w:r>
            <w:r w:rsidRPr="00B908AA">
              <w:rPr>
                <w:rFonts w:ascii="Arial Narrow" w:eastAsiaTheme="minorHAnsi" w:hAnsi="Arial Narrow" w:cs="Garamond-Bold"/>
                <w:bCs/>
                <w:color w:val="auto"/>
                <w:sz w:val="24"/>
                <w:szCs w:val="24"/>
                <w:lang w:eastAsia="en-US"/>
              </w:rPr>
              <w:t xml:space="preserve"> En lo referente al plazo de liquidación de los contratos estatales, el mismo se ha definido por el Legislador en el artículo 11 de la ley 1150 de 2007, el cual establece puntualmente lo siguiente: "Artículo 11. Del plazo para la liquidación de los contratos. La liquidación de los contratos se hará de mutuo acuerdo dentro del término fijado en los pliegos de condiciones o sus equivalentes, o dentro del que </w:t>
            </w:r>
            <w:r w:rsidRPr="00B908AA">
              <w:rPr>
                <w:rFonts w:ascii="Arial Narrow" w:eastAsiaTheme="minorHAnsi" w:hAnsi="Arial Narrow" w:cs="Garamond-Bold"/>
                <w:bCs/>
                <w:color w:val="auto"/>
                <w:sz w:val="24"/>
                <w:szCs w:val="24"/>
                <w:lang w:eastAsia="en-US"/>
              </w:rPr>
              <w:lastRenderedPageBreak/>
              <w:t>acuerden las partes para el efecto. De no existir tal término, la liquidación se realizará dentro de los Cuatro (4) meses siguientes a la expiración del término previsto para la ejecución del contrato o a la expedición del acto administrativo que ordene la terminación, o a la fecha del acuerdo que la disponga. En aquellos casos en que el contratista no se presente a la liquidación previa notificación o convocatoria que le haga la entidad, o las partes no lleguen a un acuerdo sobre su conte1lido, la entidad tendrá la facultad de liquidar en forma unilateral dentro de los dos (2) meses siguientes, de conformidad con lo dispuesto en el artículo 136 del C. C. A. Si vencido el plazo anteriormente establecido no se ha realizado la liquidación, la misma podrá ser realizada en cualquier tiempo dentro de los dos años siguientes al vencimiento del término a que se refieren los incisos anteriores, de mutuo acuerdo o unilateralmente, sin perjuicio de lo previsto en el artículo 136 del C. C. A. Los contratistas tendrán derecho a hacer salvedades a la liquidación por mutuo acuerdo, y en este evento la liquidación unilateral solo procederá en relación con los aspectos que no hayan sido objeto de acuerdo ... "</w:t>
            </w:r>
            <w:r w:rsidRPr="00B908AA">
              <w:rPr>
                <w:rFonts w:ascii="Arial Narrow" w:eastAsiaTheme="minorHAnsi" w:hAnsi="Arial Narrow" w:cs="Garamond-Bold"/>
                <w:bCs/>
                <w:color w:val="auto"/>
                <w:sz w:val="24"/>
                <w:szCs w:val="24"/>
                <w:lang w:eastAsia="en-US"/>
              </w:rPr>
              <w:footnoteReference w:id="9"/>
            </w:r>
            <w:r w:rsidRPr="00B908AA">
              <w:rPr>
                <w:rFonts w:ascii="Arial Narrow" w:eastAsiaTheme="minorHAnsi" w:hAnsi="Arial Narrow" w:cs="Garamond-Bold"/>
                <w:bCs/>
                <w:color w:val="auto"/>
                <w:sz w:val="24"/>
                <w:szCs w:val="24"/>
                <w:lang w:eastAsia="en-US"/>
              </w:rPr>
              <w:t xml:space="preserve"> (Cursiva por fuera del texto original). Dadas las anteriores precisiones, resulta importante señalar que dentro de la fase de liquidación de los contratos del Estado debe efectuarse el cruce de cuentas no solamente desde el punto de vista financiero, sino además desde el punto de vista del cumplimiento del objeto y obligaciones contractuales. Ahora bien, resulta además de suma relevancia que durante el plazo establecido en la normatividad vigente la misma se lleve a cabo. Lo dicho hasta aquí resulta aplicable a todos los contratos que celebre el Estado, salvo las excepciones contenidas en la Ley. No obstante, a pesar de efectuarse la liquidación de los contratos en los términos señalados por el ordenamiento jurídico, sucede con alguna frecuencia que en la materialización de la liquidación antes señalada ocurren sucesos que requieren ser revisados a fin de proceder a suscribir la liquidación contractual. Respecto a este interrogante esta Dirección emitió concepto radicado con el No. 20174500355573 de fecha 16 de agosto de 2017</w:t>
            </w:r>
            <w:r w:rsidRPr="00B908AA">
              <w:rPr>
                <w:rFonts w:ascii="Arial Narrow" w:eastAsiaTheme="minorHAnsi" w:hAnsi="Arial Narrow" w:cs="Garamond-Bold"/>
                <w:bCs/>
                <w:color w:val="auto"/>
                <w:sz w:val="24"/>
                <w:szCs w:val="24"/>
                <w:lang w:eastAsia="en-US"/>
              </w:rPr>
              <w:footnoteReference w:id="10"/>
            </w:r>
            <w:r w:rsidRPr="00B908AA">
              <w:rPr>
                <w:rFonts w:ascii="Arial Narrow" w:eastAsiaTheme="minorHAnsi" w:hAnsi="Arial Narrow" w:cs="Garamond-Bold"/>
                <w:bCs/>
                <w:color w:val="auto"/>
                <w:sz w:val="24"/>
                <w:szCs w:val="24"/>
                <w:lang w:eastAsia="en-US"/>
              </w:rPr>
              <w:t>, con fundamento en el concepto emitido por el Asesor Externo - Dr. Martín Bermúdez Muñoz</w:t>
            </w:r>
            <w:r w:rsidRPr="00B908AA">
              <w:rPr>
                <w:rFonts w:ascii="Arial Narrow" w:eastAsiaTheme="minorHAnsi" w:hAnsi="Arial Narrow" w:cs="Garamond-Bold"/>
                <w:bCs/>
                <w:color w:val="auto"/>
                <w:sz w:val="24"/>
                <w:szCs w:val="24"/>
                <w:lang w:eastAsia="en-US"/>
              </w:rPr>
              <w:footnoteReference w:id="11"/>
            </w:r>
            <w:r w:rsidRPr="00B908AA">
              <w:rPr>
                <w:rFonts w:ascii="Arial Narrow" w:eastAsiaTheme="minorHAnsi" w:hAnsi="Arial Narrow" w:cs="Garamond-Bold"/>
                <w:bCs/>
                <w:color w:val="auto"/>
                <w:sz w:val="24"/>
                <w:szCs w:val="24"/>
                <w:lang w:eastAsia="en-US"/>
              </w:rPr>
              <w:t xml:space="preserve">, que si bien hace referencia a los contratos Interadministrativos, que no corresponde al negocio jurídico sometido a consideración, </w:t>
            </w:r>
            <w:r w:rsidRPr="00B908AA">
              <w:rPr>
                <w:rFonts w:ascii="Arial Narrow" w:eastAsiaTheme="minorHAnsi" w:hAnsi="Arial Narrow" w:cs="Garamond-Bold"/>
                <w:bCs/>
                <w:color w:val="auto"/>
                <w:sz w:val="24"/>
                <w:szCs w:val="24"/>
                <w:lang w:eastAsia="en-US"/>
              </w:rPr>
              <w:lastRenderedPageBreak/>
              <w:t xml:space="preserve">sí contiene lineamientos en cuanto a los elementos que se deben tener en cuenta en la liquidación del contrato que nos sirven de lineamiento para resolver el caso que nos ocupa, en el cual indicó lo siguiente: "(...) </w:t>
            </w:r>
            <w:r w:rsidRPr="00B908AA">
              <w:rPr>
                <w:rFonts w:ascii="Arial Narrow" w:eastAsiaTheme="minorHAnsi" w:hAnsi="Arial Narrow" w:cs="Garamond-Bold"/>
                <w:bCs/>
                <w:i/>
                <w:color w:val="auto"/>
                <w:sz w:val="24"/>
                <w:szCs w:val="24"/>
                <w:lang w:eastAsia="en-US"/>
              </w:rPr>
              <w:t>En atención a su solicitud, rindo concepto sobre la revisión que debe efectuarse en el proceso de liquidación de un contrato interadministrativo con una entidad pública. En particular se pregunta sí, en el proceso de liquidación de un contrato de esta natulra1eza, cuyo objeto es la implementación de escuelas de formación deportivas y culturales, en virtud del cual se adquirieron elementos deportivos, musicales y la contratación de docentes para las dos disciplinas es necesario: a.- Que la Alcaldía Local como entidad contratante solicite a la entidad contratada, como soportes de ejecución financiera, comprobantes de egreso, recibos de caja y similares de los elementos adquiridos a terceros (proveedor) requeridos para la ejecución del contrato. b.- Que se allegue copia de las planillas de pago correspondientes al sistema de seguridad social en salud, pensión y riesgos profesionales, o sí basta con la certificación expedida por el representante legal de la entidad contratada. Para responder lo anterior debe tenerse en Cuenta que: 1.- El Contratista o la entidad estatal que es parte en el contrato tiene plena autonomía financiera y administrativa para la ejecución de las obligaciones pactadas en el mismo, por lo que la revisión, al momento de la liquidación, está encaminada a realizar un balance de Cuentas a partir de las obligaciones pactadas, para establecer quién le debe a quién y cuánto. 2.- Así las cosas, la labor de la entidad contratante al momento de liquidar consiste en verificar la forma como se ejecutó el contrato a partir de las obligaciones estipuladas en el mismo. Ahora bien, si en las obligaciones específicas, en las condiciones de pago y en general en el clausulado, se señala que la entidad pública con la que se celebró el contrato debe entregar copia de soportes de ingreso y egreso, así como registros de entrega de beneficios o comprobantes de adquisición de bienes, estos deben ser solicitados en el momento de liquidar el contrato. Si, por contrario, en el contrato no se establece esa obligación específica y esta revisión no resulta necesaria para realizar el balance de ejecución contractual no deben solicitarse. Lo que debe tenerse presente es que la revisión final de la ejecución contractual está encaminada a realizar el balance del contrato y no a realizar una auditoría respecto de la forma como el contratista - público o privado - cumple con sus obligaciones, en exceso de las funciones de verificación de la ejecución contractual para liquidar</w:t>
            </w:r>
            <w:r w:rsidRPr="00B908AA">
              <w:rPr>
                <w:rFonts w:ascii="Arial Narrow" w:eastAsiaTheme="minorHAnsi" w:hAnsi="Arial Narrow" w:cs="Garamond-Bold"/>
                <w:bCs/>
                <w:color w:val="auto"/>
                <w:sz w:val="24"/>
                <w:szCs w:val="24"/>
                <w:lang w:eastAsia="en-US"/>
              </w:rPr>
              <w:t xml:space="preserve">. </w:t>
            </w:r>
            <w:r w:rsidRPr="00B908AA">
              <w:rPr>
                <w:rFonts w:ascii="Arial Narrow" w:eastAsiaTheme="minorHAnsi" w:hAnsi="Arial Narrow" w:cs="Garamond-Bold"/>
                <w:bCs/>
                <w:color w:val="auto"/>
                <w:sz w:val="24"/>
                <w:szCs w:val="24"/>
                <w:lang w:eastAsia="en-US"/>
              </w:rPr>
              <w:footnoteReference w:id="12"/>
            </w:r>
            <w:r w:rsidRPr="00B908AA">
              <w:rPr>
                <w:rFonts w:ascii="Arial Narrow" w:eastAsiaTheme="minorHAnsi" w:hAnsi="Arial Narrow" w:cs="Garamond-Bold"/>
                <w:bCs/>
                <w:color w:val="auto"/>
                <w:sz w:val="24"/>
                <w:szCs w:val="24"/>
                <w:lang w:eastAsia="en-US"/>
              </w:rPr>
              <w:t xml:space="preserve"> 3.- En relación con el Contrato Interadministrativo No. 222 FDLU-2016, celebrado entre el Fondo de Desarrollo Local de </w:t>
            </w:r>
            <w:r w:rsidRPr="00B908AA">
              <w:rPr>
                <w:rFonts w:ascii="Arial Narrow" w:eastAsiaTheme="minorHAnsi" w:hAnsi="Arial Narrow" w:cs="Garamond-Bold"/>
                <w:bCs/>
                <w:color w:val="auto"/>
                <w:sz w:val="24"/>
                <w:szCs w:val="24"/>
                <w:lang w:eastAsia="en-US"/>
              </w:rPr>
              <w:lastRenderedPageBreak/>
              <w:t xml:space="preserve">Usme y el Instituto de Extensión y Educación para el Trabajo y Desarrollo Humano - IDEXUD - Universidad Distrital Francisco José de Caldas, que tuvo por objeto "ORGANIZAR, DESARROLLAR, ADMINISTRAR E IMPLEMENTAR LOS PROCESOS DE FORMACIÓN, APOYO DE INICIATIVAS DE ARTE, CULTURA, PATRIMONIO, DEPORTES, RECREACIÓN Y ACTIVIDAD FÍSICA Y LA APROPIACIÓN DE LOS ESPACIOS DE DEPORTE Y CULTURA EN LA LOCALIDAD DE USME", se observa que dentro de las obligaciones específicas (literal B) de la cláusula segunda) se señaló que sería obligación del contratista: "9. Hacer entrega de los elementos al Almacén del FDLU, desagregando cada elemento y/o incentivo necesario para la ejecución del contrato, todo esto conforme con los lineamientos establecidos para tal fin y los protocolos que se definan con el Supervisor, Apoyos a la Supervisión, Interventores y Almacenista. Para la liquidación del contrato deberá estar a paz y salvo con el almacén del FDLU, para lo cual dentro del informe final entregará copia de los soportes de ingreso y egreso del almacén, así mismo de los registros de entrega de los beneficios a las diferentes comunidades con registro de planillas con nombre, dirección, teléfono, correo electrónico con el respectivo registro fotográfico. Para el caso particular de las actividades entregará un reporte discriminado en el informe final de los elementos que se entreguen al almacén y reposen como inventarios al final del contrato (producto y/o servicio, descripción detallada, cantidad y observaciones si las hubiese)."Adicionalmente, en la cláusula décima octava sobre liquidación del contrato se pactó: "CLÁUSULA DÉCIMA OCTAVA. LIQUIDACIÓN DEL CONTRATO. El presente contrato se liquidará de común acuerdo por las partes dentro de los dos (2) meses contados a partir de su finalización o de la expedición del acto administrativo que ordene su terminación o de la fecha del acuerdo que lo disponga, para lo cual el Supervisor preparará el acta correspondiente". 4.- Para responder el primer interrogante debe señalarse que la labor de verificación que debe realizar la entidad al momento de liquidar el contrato relativa a la ejecución financiera, comprobantes de egreso, recibos de caja y similares relativos a los elementos adquiridos por terceros está delimitada por lo establecido en el numeral 9 del literal B) de la cláusula segunda y esos son los documentos que deberá solicitarse al contratista al momento de liquidar el contrato. 5.- Finalmente, en relación con el segundo interrogante, esto es, con el cumplimiento del pago de los aportes parafiscales, debe tenerse en cuenta que en la misma cláusula décima octava sobre liquidación del contrato se establece en el parágrafo primero que el "Supervisor verificará el cumplimiento de las obligaciones impuestas por el artículo 23 de la ley 1150 de 2007 durante la </w:t>
            </w:r>
            <w:r w:rsidRPr="00B908AA">
              <w:rPr>
                <w:rFonts w:ascii="Arial Narrow" w:eastAsiaTheme="minorHAnsi" w:hAnsi="Arial Narrow" w:cs="Garamond-Bold"/>
                <w:bCs/>
                <w:color w:val="auto"/>
                <w:sz w:val="24"/>
                <w:szCs w:val="24"/>
                <w:lang w:eastAsia="en-US"/>
              </w:rPr>
              <w:lastRenderedPageBreak/>
              <w:t xml:space="preserve">vigencia del contrato por parte del Contratista", norma que señala: "Artículo 23. De los aportes al Sistema de Seguridad Social. El inciso segundo y el parágrafo '1' del artículo 41 de la Ley 80 quedarán así: “Artículo 41. (...) Para la ejecución se requerirá de la aprobación de la garantía y de la existencia de las disponibilidades presupuestales correspondientes, salvo que se trate de la contratación con recursos de vigencias fiscales futuras de conformidad con lo previsto en la ley orgánica del presupuesto. El proponente y el contratista deberán acreditar que se encuentran al día en el pago de aportes parafiscales relativos al Sistema de Seguridad Social Integral, así como los propios del Sena, ICBF y Cajas de Compensación Familiar, cuando corresponda. Parágrafo 1'. El requisito establecido en la parte final del inciso segundo de este artículo deberá acreditarse para la realización de cada pago derivado del contrato estatal.  El servidor público que sin justa causa no verifique el pago de los aportes a que se refiere el presente artículo, incurrirá en causal de mala conducta, que será sancionada con arreglo al régimen disciplinario vigente." Así mismo la cláusula séptima del contra, sobre forma de pago establece la obligación del supervisor sobre el cumplimiento de obligaciones parafiscales". 6.- Esta obligación consiste en entregar para cada desembolso, la certificación suscrita por el representante legal o revisor fiscal que acredite el cumplimiento del pago de aportes al sistema de seguridad social integral, parafiscales, ICBF, SENA y cajas de compensación familiar, según lo establecido por el artículo 50 de la Ley 789 de 2002…”.  Es de anotar que siempre que la recepción de los bienes haya sido realizada durante e! plazo de ejecución por parte del supervisor o interventor o el competente designado por el Fondo de Desarrollo Local para verificar la correcta ejecución de! contrato, se debe realizar el ingreso a almacén de los bienes en cuestión, siempre que se alleguen los respectivos soportes que den cuenta de la entrega de los mismos durante e! plazo de ejecución y conforme a las especificaciones y términos definidos en el contrato. De otra parte, es de anotar que la obligación de liquidar el contrato se debe cumplir, con independencia de que éste hubiere sido celebrado y ejecutado en una administración diferente a la que se encuentra encargada de la liquidación, dado que la entidad es sólo una, y este tipo de cambios de carácter administrativo suceden con independencia de los procedimientos contractuales en curso y sus efectos en el tiempo. De tal manera que se deberán allegar todos los soportes y evidencia de la labor ejecutada para finiquitar la liquidación contractual, para con ello evitar inconvenientes futuros para la entidad estatal, por posibles pagos no efectuados a los contratistas; de igual manera, en el evento de resultar recursos a favor de la entidad, proceder a su liberación para que se disponga de ellos según establezcan las </w:t>
            </w:r>
            <w:r w:rsidRPr="00B908AA">
              <w:rPr>
                <w:rFonts w:ascii="Arial Narrow" w:eastAsiaTheme="minorHAnsi" w:hAnsi="Arial Narrow" w:cs="Garamond-Bold"/>
                <w:bCs/>
                <w:color w:val="auto"/>
                <w:sz w:val="24"/>
                <w:szCs w:val="24"/>
                <w:lang w:eastAsia="en-US"/>
              </w:rPr>
              <w:lastRenderedPageBreak/>
              <w:t xml:space="preserve">normas presupuestales. La nueva administración no se puede negar a efectuar reconocimientos que estén debidamente acreditados, conforme a las estipulaciones contractuales, porque ello puede generar mayor onerosidad para el erario, dado que a futuro pueden dar lugar a la reclamación y posible reconocimiento de intereses en contra de la entidad estatal; así las cosas, la administración hará los mayores esfuerzos para lograr la liquidación bilateral del contrato; de no ser esto posible, proceder a la liquidación unilateral del mismo, conforme a los lineamientos establecidos en la Directiva No. 01 de 2018 emitida por la Secretaría Jurídica Distrital. </w:t>
            </w:r>
            <w:r w:rsidRPr="00B908AA">
              <w:rPr>
                <w:rFonts w:ascii="Arial Narrow" w:eastAsiaTheme="minorHAnsi" w:hAnsi="Arial Narrow" w:cs="Garamond-Bold"/>
                <w:bCs/>
                <w:color w:val="auto"/>
                <w:sz w:val="24"/>
                <w:szCs w:val="24"/>
                <w:lang w:eastAsia="en-US"/>
              </w:rPr>
              <w:footnoteReference w:id="13"/>
            </w:r>
            <w:r w:rsidRPr="00B908AA">
              <w:rPr>
                <w:rFonts w:ascii="Arial Narrow" w:eastAsiaTheme="minorHAnsi" w:hAnsi="Arial Narrow" w:cs="Garamond-Bold"/>
                <w:bCs/>
                <w:color w:val="auto"/>
                <w:sz w:val="24"/>
                <w:szCs w:val="24"/>
                <w:lang w:eastAsia="en-US"/>
              </w:rPr>
              <w:t xml:space="preserve"> </w:t>
            </w:r>
          </w:p>
          <w:p w:rsidR="00BD629A" w:rsidRPr="00B908AA" w:rsidRDefault="00BD629A" w:rsidP="00BD629A">
            <w:pPr>
              <w:autoSpaceDE w:val="0"/>
              <w:autoSpaceDN w:val="0"/>
              <w:adjustRightInd w:val="0"/>
              <w:jc w:val="both"/>
              <w:rPr>
                <w:rFonts w:ascii="Arial Narrow" w:hAnsi="Arial Narrow" w:cs="Garamond-Bold"/>
                <w:bCs/>
                <w:sz w:val="24"/>
                <w:szCs w:val="24"/>
              </w:rPr>
            </w:pPr>
          </w:p>
        </w:tc>
      </w:tr>
      <w:tr w:rsidR="00BD629A" w:rsidRPr="00B908AA" w:rsidTr="00BD629A">
        <w:tc>
          <w:tcPr>
            <w:tcW w:w="2972" w:type="dxa"/>
          </w:tcPr>
          <w:p w:rsidR="00BD629A" w:rsidRPr="00B908AA" w:rsidRDefault="00BD629A" w:rsidP="00BD629A">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lastRenderedPageBreak/>
              <w:t>Fecha: 10-07-2017</w:t>
            </w:r>
          </w:p>
          <w:p w:rsidR="00BD629A" w:rsidRPr="00B908AA" w:rsidRDefault="00BD629A" w:rsidP="00BD629A">
            <w:pPr>
              <w:autoSpaceDE w:val="0"/>
              <w:autoSpaceDN w:val="0"/>
              <w:adjustRightInd w:val="0"/>
              <w:rPr>
                <w:rFonts w:ascii="Arial Narrow" w:hAnsi="Arial Narrow" w:cs="Garamond-Bold"/>
                <w:b/>
                <w:bCs/>
                <w:sz w:val="24"/>
                <w:szCs w:val="24"/>
              </w:rPr>
            </w:pPr>
          </w:p>
        </w:tc>
        <w:tc>
          <w:tcPr>
            <w:tcW w:w="5856" w:type="dxa"/>
          </w:tcPr>
          <w:p w:rsidR="00BD629A" w:rsidRPr="00B908AA" w:rsidRDefault="00BD629A" w:rsidP="00BD629A">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Dra. Carmen Yolanda Villabona. Directora de Contratación Secretaría Distrital de Gobierno.</w:t>
            </w:r>
          </w:p>
        </w:tc>
      </w:tr>
      <w:tr w:rsidR="00BD629A" w:rsidRPr="00B908AA" w:rsidTr="00BD629A">
        <w:tc>
          <w:tcPr>
            <w:tcW w:w="2972" w:type="dxa"/>
          </w:tcPr>
          <w:p w:rsidR="00BD629A" w:rsidRPr="00B908AA" w:rsidRDefault="00BD629A" w:rsidP="00BD629A">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TEMA: NOTIFICACION ACTO ADMINISTRATIVO LIQUIDACION UNILATERAL DE CONTRATO</w:t>
            </w:r>
          </w:p>
        </w:tc>
        <w:tc>
          <w:tcPr>
            <w:tcW w:w="5856" w:type="dxa"/>
          </w:tcPr>
          <w:p w:rsidR="00BD629A" w:rsidRPr="00B908AA" w:rsidRDefault="00BD629A" w:rsidP="00BD629A">
            <w:pPr>
              <w:autoSpaceDE w:val="0"/>
              <w:autoSpaceDN w:val="0"/>
              <w:adjustRightInd w:val="0"/>
              <w:jc w:val="center"/>
              <w:rPr>
                <w:rFonts w:ascii="Arial Narrow" w:hAnsi="Arial Narrow" w:cs="Garamond-Bold"/>
                <w:b/>
                <w:bCs/>
                <w:sz w:val="24"/>
                <w:szCs w:val="24"/>
              </w:rPr>
            </w:pPr>
          </w:p>
          <w:p w:rsidR="00BD629A" w:rsidRPr="00B908AA" w:rsidRDefault="00BD629A" w:rsidP="00BD629A">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BD629A" w:rsidRPr="00B908AA" w:rsidTr="00BD629A">
        <w:tc>
          <w:tcPr>
            <w:tcW w:w="2972" w:type="dxa"/>
          </w:tcPr>
          <w:p w:rsidR="00BD629A" w:rsidRPr="00B908AA" w:rsidRDefault="00BD629A" w:rsidP="00BD629A">
            <w:pPr>
              <w:autoSpaceDE w:val="0"/>
              <w:autoSpaceDN w:val="0"/>
              <w:adjustRightInd w:val="0"/>
              <w:jc w:val="both"/>
              <w:rPr>
                <w:rFonts w:ascii="Arial Narrow" w:hAnsi="Arial Narrow" w:cs="Garamond-Bold"/>
                <w:b/>
                <w:bCs/>
                <w:sz w:val="24"/>
                <w:szCs w:val="24"/>
              </w:rPr>
            </w:pPr>
          </w:p>
        </w:tc>
        <w:tc>
          <w:tcPr>
            <w:tcW w:w="5856" w:type="dxa"/>
          </w:tcPr>
          <w:p w:rsidR="00BD629A" w:rsidRPr="00B908AA" w:rsidRDefault="00BD629A" w:rsidP="00BD629A">
            <w:pPr>
              <w:pStyle w:val="Standard"/>
              <w:jc w:val="both"/>
              <w:rPr>
                <w:rFonts w:ascii="Arial Narrow" w:hAnsi="Arial Narrow" w:cs="Garamond-Bold"/>
                <w:bCs/>
                <w:sz w:val="24"/>
                <w:szCs w:val="24"/>
              </w:rPr>
            </w:pPr>
            <w:r w:rsidRPr="00B908AA">
              <w:rPr>
                <w:rFonts w:ascii="Arial Narrow" w:eastAsiaTheme="minorHAnsi" w:hAnsi="Arial Narrow" w:cs="Garamond-Bold"/>
                <w:bCs/>
                <w:color w:val="auto"/>
                <w:kern w:val="0"/>
                <w:sz w:val="24"/>
                <w:szCs w:val="24"/>
                <w:lang w:val="es-CO" w:eastAsia="en-US"/>
              </w:rPr>
              <w:t>(…)</w:t>
            </w:r>
            <w:r w:rsidRPr="00B908AA">
              <w:rPr>
                <w:rFonts w:ascii="Arial Narrow" w:hAnsi="Arial Narrow" w:cs="Garamond-Bold"/>
                <w:bCs/>
                <w:sz w:val="24"/>
                <w:szCs w:val="24"/>
              </w:rPr>
              <w:t xml:space="preserve"> 1.- Se pregunta cuál es el efecto de la falta de notificación de un acto administrativo de liquidación unilateral de un contrato estatal, cuando el acto ha sido expedido dentro del término con el que cuenta la entidad para el ejercicio de esta competencia, pero -dentro del mismo término- el acto no ha sido notificado. 2.- Desde la vigencia del C.C.A. se ha señalado que la falta de notificación de un acto administrativo no conduce a su inexistencia o la nulidad, sino a la falta de eficacia, que se traduce en el carácter ejecutivo y ejecutorio del acto administrativo. Así las cosas, el acto que ha sido expedido, pero no notificado, existe y es válido, solo que no puede hacerse obligatorio a sus destinatarios. 3.- (…) La notificación es un requisito para la obligatoriedad de os actos y su ausencia genera la inoponibilidad del acto, más no la inexistencia o la nulidad. Dispone el artículo 72 del CPACA: “</w:t>
            </w:r>
            <w:bookmarkStart w:id="4" w:name="72"/>
            <w:r w:rsidRPr="00B908AA">
              <w:rPr>
                <w:rFonts w:ascii="Arial Narrow" w:hAnsi="Arial Narrow" w:cs="Garamond-Bold"/>
                <w:bCs/>
                <w:i/>
                <w:sz w:val="24"/>
                <w:szCs w:val="24"/>
              </w:rPr>
              <w:t>Artículo 72. Falta o irregularidad de las notificaciones y notificación por conducta concluyente.</w:t>
            </w:r>
            <w:bookmarkEnd w:id="4"/>
            <w:r w:rsidRPr="00B908AA">
              <w:rPr>
                <w:rFonts w:ascii="Arial Narrow" w:hAnsi="Arial Narrow" w:cs="Garamond-Bold"/>
                <w:bCs/>
                <w:i/>
                <w:sz w:val="24"/>
                <w:szCs w:val="24"/>
              </w:rPr>
              <w:t> Sin el lleno de los anteriores requisitos no se tendrá por hecha la notificación, ni producirá efectos legales la decisión, a menos que la parte interesada revele que conoce el acto, consienta la decisión o interponga los recursos legales”</w:t>
            </w:r>
            <w:r w:rsidRPr="00B908AA">
              <w:rPr>
                <w:rFonts w:ascii="Arial Narrow" w:hAnsi="Arial Narrow" w:cs="Garamond-Bold"/>
                <w:bCs/>
                <w:sz w:val="24"/>
                <w:szCs w:val="24"/>
              </w:rPr>
              <w:t>.</w:t>
            </w:r>
            <w:r w:rsidRPr="00B908AA">
              <w:rPr>
                <w:rFonts w:ascii="Arial Narrow" w:hAnsi="Arial Narrow" w:cs="Arial"/>
                <w:color w:val="auto"/>
                <w:sz w:val="24"/>
                <w:szCs w:val="24"/>
              </w:rPr>
              <w:t xml:space="preserve">  </w:t>
            </w:r>
            <w:r w:rsidRPr="00B908AA">
              <w:rPr>
                <w:rFonts w:ascii="Arial Narrow" w:hAnsi="Arial Narrow" w:cs="Garamond-Bold"/>
                <w:bCs/>
                <w:sz w:val="24"/>
                <w:szCs w:val="24"/>
              </w:rPr>
              <w:t xml:space="preserve">5.- La jurisprudencia del Consejo de Estado sobre el efecto de la falta de notificación de los actos administrativos ha señalado: “4.1 El código Contencioso Administrativo establece que, si la notificación o se </w:t>
            </w:r>
            <w:r w:rsidRPr="00B908AA">
              <w:rPr>
                <w:rFonts w:ascii="Arial Narrow" w:hAnsi="Arial Narrow" w:cs="Garamond-Bold"/>
                <w:bCs/>
                <w:sz w:val="24"/>
                <w:szCs w:val="24"/>
              </w:rPr>
              <w:lastRenderedPageBreak/>
              <w:t>realiza en legal forma, el acto administrativo “</w:t>
            </w:r>
            <w:r w:rsidRPr="00B908AA">
              <w:rPr>
                <w:rFonts w:ascii="Arial Narrow" w:hAnsi="Arial Narrow" w:cs="Garamond-Bold"/>
                <w:bCs/>
                <w:i/>
                <w:sz w:val="24"/>
                <w:szCs w:val="24"/>
              </w:rPr>
              <w:t>no producirá efectos legales</w:t>
            </w:r>
            <w:r w:rsidRPr="00B908AA">
              <w:rPr>
                <w:rFonts w:ascii="Arial Narrow" w:hAnsi="Arial Narrow" w:cs="Garamond-Bold"/>
                <w:bCs/>
                <w:sz w:val="24"/>
                <w:szCs w:val="24"/>
              </w:rPr>
              <w:t>” y que “</w:t>
            </w:r>
            <w:r w:rsidRPr="00B908AA">
              <w:rPr>
                <w:rFonts w:ascii="Arial Narrow" w:hAnsi="Arial Narrow" w:cs="Garamond-Bold"/>
                <w:bCs/>
                <w:i/>
                <w:sz w:val="24"/>
                <w:szCs w:val="24"/>
              </w:rPr>
              <w:t>Tampoco producirán efectos legales las decisiones mientras no se hagan las publicaciones respectivas en el caso del artículo 46</w:t>
            </w:r>
            <w:r w:rsidRPr="00B908AA">
              <w:rPr>
                <w:rFonts w:ascii="Arial Narrow" w:hAnsi="Arial Narrow" w:cs="Garamond-Bold"/>
                <w:bCs/>
                <w:sz w:val="24"/>
                <w:szCs w:val="24"/>
              </w:rPr>
              <w:t xml:space="preserve">”. </w:t>
            </w:r>
            <w:r w:rsidRPr="00B908AA">
              <w:rPr>
                <w:rFonts w:ascii="Arial Narrow" w:hAnsi="Arial Narrow" w:cs="Garamond-Bold"/>
                <w:b/>
                <w:bCs/>
                <w:sz w:val="24"/>
                <w:szCs w:val="24"/>
              </w:rPr>
              <w:t xml:space="preserve">La falta de notificación del acto administrativo conlleva su ineficacia, que consiste en la imposibilidad de producir los efectos para los cuales se profirió, en consideración a que la publicidad del acto administrativo es un requisito indispensable para que las decisiones administrativas sean obligatorias (…) </w:t>
            </w:r>
            <w:r w:rsidRPr="00B908AA">
              <w:rPr>
                <w:rFonts w:ascii="Arial Narrow" w:hAnsi="Arial Narrow" w:cs="Garamond-Bold"/>
                <w:bCs/>
                <w:sz w:val="24"/>
                <w:szCs w:val="24"/>
              </w:rPr>
              <w:t xml:space="preserve">la notificación del acto administrativo no dice relación con su validez jurídica la cual no sufre variación por el hecho de que se haya cumplido con la obligación de notificarlo legalmente o se haya prescindido de dicha diligencia; el acto administrativo que nació viciado no se sanará porque, con posterioridad, se notifique legalmente; y al revés, el acto que nace válido no pierde validez porque se deje de notificar o porque la notificación sea irregular. Es una simple aplicación del principio según el cual el examen de validez jurídica de los actos administrativos que hace el contralor jurisdiccional se debe efectuar, por regla general, en el momento de su nacimiento, de modo que las circunstancias posteriores no afectan una situación inicial (…) Quiere decir lo anterior que, no obstante existir un acto administrativo investido de la presunción de legalidad, porque se asume que fue expedido con el lleno de todos los requisitos legales, el mismo le es inoponible al administrado, cuando no haya sido puesto en su conocimiento, en la forma indicada por la ley, lo cual se explica si se tiene en cuenta que nadie puede ser obligado a dar cumplimiento a una disposición que desconoce. Y lo expuesto es predicable no sólo del acto por el cual una entidad pública expresa su voluntad, sino también de la resolución que lo modifica, revoca o confirma, porque como lo ha explicado la Corporación, “Los actos que deciden un recurso o una petición deben ser notificados en la forma prevista en el Código Contencioso Administrativo, es decir, por regla general, personalmente al beneficiado o afectado con ellos…El desconocimiento o pretermisión de una cualquiera de las exigencias que regulan la forma de hacer las notificaciones se sanciona con la inexistencia de la notificación y, por tanto, el acto no produce efectos legales…En aplicación de lo anterior se impone precisar que el acto administrativo por medio del cual se resuelve el recurso de reposición interpuesto contra una resolución inicial, debe ser notificado al interesado para que le sea oponible (…)”. Ahora bien, en materia de actos administrativos contractuales, no existe una regla en particular que atribuya a la falta de notificación una consecuencia distinta a la señalada en relación con el procedimiento administrativo general. Por el contrario, el artículo 77 de la Ley 80 de 1993, establece que los actos contractuales se les aplican las normas </w:t>
            </w:r>
            <w:r w:rsidRPr="00B908AA">
              <w:rPr>
                <w:rFonts w:ascii="Arial Narrow" w:hAnsi="Arial Narrow" w:cs="Garamond-Bold"/>
                <w:bCs/>
                <w:sz w:val="24"/>
                <w:szCs w:val="24"/>
              </w:rPr>
              <w:lastRenderedPageBreak/>
              <w:t xml:space="preserve">de las actuaciones administrativas, en cuanto sea compatible. 7.- En relación con el plazo para el ejercicio de la competencia para liquidar el contrato establecida en el artículo 11 de la ley 1150 de 2007y el artículo 164 del CPACA, las normas se refieren a la expedición del acto y no a la notificación, por lo que resulta claro que el acto administrativo proferido en el término de 30 meses siguientes a la terminación del </w:t>
            </w:r>
            <w:r w:rsidR="00FB78B1" w:rsidRPr="00B908AA">
              <w:rPr>
                <w:rFonts w:ascii="Arial Narrow" w:hAnsi="Arial Narrow" w:cs="Garamond-Bold"/>
                <w:bCs/>
                <w:sz w:val="24"/>
                <w:szCs w:val="24"/>
              </w:rPr>
              <w:t>contrato</w:t>
            </w:r>
            <w:r w:rsidRPr="00B908AA">
              <w:rPr>
                <w:rFonts w:ascii="Arial Narrow" w:hAnsi="Arial Narrow" w:cs="Garamond-Bold"/>
                <w:bCs/>
                <w:sz w:val="24"/>
                <w:szCs w:val="24"/>
              </w:rPr>
              <w:t xml:space="preserve"> </w:t>
            </w:r>
            <w:r w:rsidRPr="00B908AA">
              <w:rPr>
                <w:rFonts w:ascii="Arial Narrow" w:hAnsi="Arial Narrow" w:cs="Garamond-Bold"/>
                <w:bCs/>
                <w:i/>
                <w:sz w:val="24"/>
                <w:szCs w:val="24"/>
              </w:rPr>
              <w:t>es válido y existe</w:t>
            </w:r>
            <w:r w:rsidRPr="00B908AA">
              <w:rPr>
                <w:rFonts w:ascii="Arial Narrow" w:hAnsi="Arial Narrow" w:cs="Garamond-Bold"/>
                <w:bCs/>
                <w:sz w:val="24"/>
                <w:szCs w:val="24"/>
              </w:rPr>
              <w:t>, solo que no tiene efecto obligatorio. Así las cosas, la competencia fue ejercida en la oportunidad legal, independientemente de que el acto no se haya notificado. Ahora bien, para que pueda surtir efectos la decisión, deberá notificarse en estos momentos la decisión y conceder los recursos que proceden en su contra. Seguramente el contratista opondrá diversas defensas contra el mismo y lógicamente a partir de ese momento correrán los términos legales para que lo haga; podría decirse que notificarlo implica “revivir términos” a su favor. Pero la notificación es una carga que debe cumplir obligatoriamente la Administración para que sus decisiones vinculen a los terceros afectados con ellas.</w:t>
            </w:r>
          </w:p>
        </w:tc>
      </w:tr>
      <w:tr w:rsidR="00BD629A" w:rsidRPr="00B908AA" w:rsidTr="00BD629A">
        <w:tc>
          <w:tcPr>
            <w:tcW w:w="2972" w:type="dxa"/>
          </w:tcPr>
          <w:p w:rsidR="00BD629A" w:rsidRPr="00B908AA" w:rsidRDefault="00BD629A" w:rsidP="00BD629A">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lastRenderedPageBreak/>
              <w:t>Fecha: 9-03-2018</w:t>
            </w:r>
          </w:p>
        </w:tc>
        <w:tc>
          <w:tcPr>
            <w:tcW w:w="5856" w:type="dxa"/>
          </w:tcPr>
          <w:p w:rsidR="00BD629A" w:rsidRPr="00B908AA" w:rsidRDefault="00BD629A" w:rsidP="00BD629A">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 Martín Bermúdez Muñoz. Asesor Dirección de Contratación Secretaría Distrital de Gobierno.</w:t>
            </w:r>
          </w:p>
        </w:tc>
      </w:tr>
      <w:tr w:rsidR="003E0D55" w:rsidRPr="00B908AA" w:rsidTr="00BD629A">
        <w:tc>
          <w:tcPr>
            <w:tcW w:w="2972" w:type="dxa"/>
          </w:tcPr>
          <w:p w:rsidR="003E0D55" w:rsidRPr="00B908AA" w:rsidRDefault="003E0D55" w:rsidP="003E0D55">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TEMAS: PAGO DE BIENES SOBRE LOS QUE NO SE PUEDE ACREDITAR INGRESO A ALMACEN</w:t>
            </w:r>
          </w:p>
        </w:tc>
        <w:tc>
          <w:tcPr>
            <w:tcW w:w="5856" w:type="dxa"/>
          </w:tcPr>
          <w:p w:rsidR="003E0D55" w:rsidRPr="00B908AA" w:rsidRDefault="003E0D55" w:rsidP="003E0D55">
            <w:pPr>
              <w:autoSpaceDE w:val="0"/>
              <w:autoSpaceDN w:val="0"/>
              <w:adjustRightInd w:val="0"/>
              <w:jc w:val="center"/>
              <w:rPr>
                <w:rFonts w:ascii="Arial Narrow" w:hAnsi="Arial Narrow" w:cs="Garamond-Bold"/>
                <w:b/>
                <w:bCs/>
                <w:sz w:val="24"/>
                <w:szCs w:val="24"/>
              </w:rPr>
            </w:pPr>
          </w:p>
          <w:p w:rsidR="003E0D55" w:rsidRPr="00B908AA" w:rsidRDefault="003E0D55" w:rsidP="003E0D55">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3E0D55" w:rsidRPr="00B908AA" w:rsidTr="00BD629A">
        <w:tc>
          <w:tcPr>
            <w:tcW w:w="2972" w:type="dxa"/>
          </w:tcPr>
          <w:p w:rsidR="003E0D55" w:rsidRPr="00B908AA" w:rsidRDefault="003E0D55" w:rsidP="003E0D55">
            <w:pPr>
              <w:autoSpaceDE w:val="0"/>
              <w:autoSpaceDN w:val="0"/>
              <w:adjustRightInd w:val="0"/>
              <w:rPr>
                <w:rFonts w:ascii="Arial Narrow" w:hAnsi="Arial Narrow" w:cs="Garamond-Bold"/>
                <w:b/>
                <w:bCs/>
                <w:sz w:val="24"/>
                <w:szCs w:val="24"/>
              </w:rPr>
            </w:pPr>
          </w:p>
        </w:tc>
        <w:tc>
          <w:tcPr>
            <w:tcW w:w="5856" w:type="dxa"/>
          </w:tcPr>
          <w:p w:rsidR="003E0D55" w:rsidRPr="00B908AA" w:rsidRDefault="003E0D55" w:rsidP="003E0D55">
            <w:pPr>
              <w:pStyle w:val="Standard"/>
              <w:jc w:val="both"/>
              <w:rPr>
                <w:rFonts w:ascii="Arial Narrow" w:hAnsi="Arial Narrow"/>
                <w:sz w:val="24"/>
                <w:szCs w:val="24"/>
              </w:rPr>
            </w:pPr>
            <w:r w:rsidRPr="00B908AA">
              <w:rPr>
                <w:rFonts w:ascii="Arial Narrow" w:eastAsiaTheme="minorHAnsi" w:hAnsi="Arial Narrow" w:cs="Garamond-Bold"/>
                <w:bCs/>
                <w:color w:val="auto"/>
                <w:kern w:val="0"/>
                <w:sz w:val="24"/>
                <w:szCs w:val="24"/>
                <w:lang w:val="es-CO" w:eastAsia="en-US"/>
              </w:rPr>
              <w:t>(…)</w:t>
            </w:r>
            <w:r w:rsidRPr="00B908AA">
              <w:rPr>
                <w:rFonts w:ascii="Arial Narrow" w:hAnsi="Arial Narrow" w:cs="Garamond-Bold"/>
                <w:bCs/>
                <w:sz w:val="24"/>
                <w:szCs w:val="24"/>
              </w:rPr>
              <w:t xml:space="preserve">   </w:t>
            </w:r>
            <w:r w:rsidRPr="00B908AA">
              <w:rPr>
                <w:rFonts w:ascii="Arial Narrow" w:hAnsi="Arial Narrow"/>
                <w:sz w:val="24"/>
                <w:szCs w:val="24"/>
              </w:rPr>
              <w:t>De manera atenta, me permito dar respuesta a su solicitud de concepto radicada bajo el No. 20186320002573 de fecha 7 de mayo de 2018, en la cual plantea un inconveniente presentado para realizar el Acta de Terminación del Contrato No. 077-2016, celebrado con la FUNDACIÓN PARA EL DESARROLLO INFANTIL Y CULTURAL IWOKE, cuyo objeto es: “</w:t>
            </w:r>
            <w:r w:rsidRPr="00B908AA">
              <w:rPr>
                <w:rFonts w:ascii="Arial Narrow" w:hAnsi="Arial Narrow"/>
                <w:i/>
                <w:sz w:val="24"/>
                <w:szCs w:val="24"/>
              </w:rPr>
              <w:t>DESARROLLAR LAS ACTIVIDADES ENMARCADAS EN EL PROYECTO 1254 A TRAVÉS DE EVENTOS E INICIATIVAS CULTURALES Y ARTÍSTICOS EN LA LOCALIDAD DE “ARTEUSAQUILLO 2016</w:t>
            </w:r>
            <w:r w:rsidRPr="00B908AA">
              <w:rPr>
                <w:rFonts w:ascii="Arial Narrow" w:hAnsi="Arial Narrow"/>
                <w:sz w:val="24"/>
                <w:szCs w:val="24"/>
              </w:rPr>
              <w:t>”. Plantea en su escrito que el contrato, en la Cláusula Cuarta, estipula como una de las obligaciones específicas del contratista, la siguiente: “</w:t>
            </w:r>
            <w:r w:rsidRPr="00B908AA">
              <w:rPr>
                <w:rFonts w:ascii="Arial Narrow" w:hAnsi="Arial Narrow"/>
                <w:b/>
                <w:sz w:val="24"/>
                <w:szCs w:val="24"/>
              </w:rPr>
              <w:t xml:space="preserve">CLÁUSULA </w:t>
            </w:r>
            <w:r w:rsidR="00FB78B1" w:rsidRPr="00B908AA">
              <w:rPr>
                <w:rFonts w:ascii="Arial Narrow" w:hAnsi="Arial Narrow"/>
                <w:b/>
                <w:sz w:val="24"/>
                <w:szCs w:val="24"/>
              </w:rPr>
              <w:t>CUARTA. -</w:t>
            </w:r>
            <w:r w:rsidRPr="00B908AA">
              <w:rPr>
                <w:rFonts w:ascii="Arial Narrow" w:hAnsi="Arial Narrow"/>
                <w:b/>
                <w:sz w:val="24"/>
                <w:szCs w:val="24"/>
              </w:rPr>
              <w:t xml:space="preserve"> OBLIGACIONES ESPECÍFICAS</w:t>
            </w:r>
            <w:r w:rsidRPr="00B908AA">
              <w:rPr>
                <w:rFonts w:ascii="Arial Narrow" w:hAnsi="Arial Narrow"/>
                <w:sz w:val="24"/>
                <w:szCs w:val="24"/>
              </w:rPr>
              <w:t xml:space="preserve">… 7.- </w:t>
            </w:r>
            <w:r w:rsidRPr="00B908AA">
              <w:rPr>
                <w:rFonts w:ascii="Arial Narrow" w:hAnsi="Arial Narrow"/>
                <w:i/>
                <w:sz w:val="24"/>
                <w:szCs w:val="24"/>
              </w:rPr>
              <w:t>Entregar la totalidad de los elementos y materiales al Almacén del Fondo de Desarrollo Local de Teusaquillo, previo a la realización de las actividades ofrecidas en la propuesta…</w:t>
            </w:r>
            <w:r w:rsidRPr="00B908AA">
              <w:rPr>
                <w:rFonts w:ascii="Arial Narrow" w:hAnsi="Arial Narrow"/>
                <w:sz w:val="24"/>
                <w:szCs w:val="24"/>
              </w:rPr>
              <w:t xml:space="preserve">”. También menciona que dentro de la ejecución del contrato se encontraba la obligación del operador de realizar la entrega de unas cartillas, no sin antes hacer la entrada previa al Almacén, según las normas sobre la materia. Adicionalmente informa que ante la ausencia de las pruebas que indiquen el ingreso de los elementos al almacén, se adelantaron algunas reuniones para explorar otros medios de demostración del ingreso de las cartillas al almacén, tales como video, sin lograr </w:t>
            </w:r>
            <w:r w:rsidRPr="00B908AA">
              <w:rPr>
                <w:rFonts w:ascii="Arial Narrow" w:hAnsi="Arial Narrow"/>
                <w:sz w:val="24"/>
                <w:szCs w:val="24"/>
              </w:rPr>
              <w:lastRenderedPageBreak/>
              <w:t xml:space="preserve">la evidencia respectiva. Al efecto, el Almacenista, en reunión sostenida en el despacho de la Alcaldía Local el 3 de agosto de 2017, afirmó que no le fueron presentadas las cartillas para verificarlas en físico, manifestando que: “si en la reunión avalan el ingreso del almacén de los elementos en el aplicativo teniendo en cuenta que el contrato ya se venció, él lo haría dejando la observación en el sistema”. Señala la Alcaldía Local, en la solicitud de consulta, que mediante radicado 2017-631-008270-2 de fecha 15 de agosto de 2017, la Interventora del Contrato manifestó que radica documentos soporte de las entregas de los artículos faltantes para el ingreso al almacén, según lo convenido el día 3 de agosto de 2017, así: Listado de participantes a la cuarta temporada de danza en el cual se realizó la entrega de los programas de mano CD. Registro fotográfico de la actividad CD. Comprobantes de egreso firmados por el señor Juan Melgarejo, representante de la iniciativa ganadora TEUSACARTE, correspondiente a las cartillas y su respectiva factura. Indica que la alcaldesa de la época manifestó que va a consultar pagar sin tener el ingreso al almacén, teniendo en cuenta que existe la evidencia de entrega a la comunidad de los artículos sin cumplir con el procedimiento de almacén; al respecto el Almacenista explica los procedimientos establecidos para el ingreso al almacén de los elementos de inversión y funcionamiento contenidos en la Resolución 001 de 2001 de la Secretaría de Hacienda, la cual establece la verificación física de los elementos y posteriormente con la factura se procede a realizar el ingreso. Consulta entonces que, atendiendo que el saldo a cancelar al operador es una obligación por pagar, se solicita el concepto jurídico sobre la decisión que debe tomar la Alcaldía Local frente a la liquidación y pago del Contrato No. 077-2016. </w:t>
            </w:r>
            <w:r w:rsidRPr="00B908AA">
              <w:rPr>
                <w:rFonts w:ascii="Arial Narrow" w:hAnsi="Arial Narrow"/>
                <w:b/>
                <w:sz w:val="24"/>
                <w:szCs w:val="24"/>
              </w:rPr>
              <w:t xml:space="preserve">CONCEPTO. EL CONTRATO ES LEY PARA LOS CONTRATANTES. </w:t>
            </w:r>
            <w:r w:rsidRPr="00B908AA">
              <w:rPr>
                <w:rFonts w:ascii="Arial Narrow" w:hAnsi="Arial Narrow"/>
                <w:sz w:val="24"/>
                <w:szCs w:val="24"/>
              </w:rPr>
              <w:t xml:space="preserve">Para dilucidar la consulta planteada se debe considerar, el principio de la autonomía contractual, establecido en el artículo 1602 del Código Civil colombiano, según el cual: </w:t>
            </w:r>
            <w:r w:rsidRPr="00B908AA">
              <w:rPr>
                <w:rFonts w:ascii="Arial Narrow" w:hAnsi="Arial Narrow"/>
                <w:b/>
                <w:sz w:val="24"/>
                <w:szCs w:val="24"/>
              </w:rPr>
              <w:t>ARTICULO 1602. LOS CONTRATOS SON LEY PARA LAS PARTES.</w:t>
            </w:r>
            <w:r w:rsidRPr="00B908AA">
              <w:rPr>
                <w:rFonts w:ascii="Arial Narrow" w:hAnsi="Arial Narrow"/>
                <w:sz w:val="24"/>
                <w:szCs w:val="24"/>
              </w:rPr>
              <w:t xml:space="preserve"> Todo contrato legalmente celebrado es una ley para los contratantes, y no puede ser invalidado sino por su consentimiento mutuo o por causas legales. De igual manera, se deberá tener en cuenta el principio de buena fe en la ejecución de los contratos, que a la letra dice:  </w:t>
            </w:r>
            <w:r w:rsidRPr="00B908AA">
              <w:rPr>
                <w:rFonts w:ascii="Arial Narrow" w:hAnsi="Arial Narrow"/>
                <w:b/>
                <w:sz w:val="24"/>
                <w:szCs w:val="24"/>
              </w:rPr>
              <w:t>ARTICULO 1603. EJECUCIÓN DE BUENA FE.</w:t>
            </w:r>
            <w:r w:rsidRPr="00B908AA">
              <w:rPr>
                <w:rFonts w:ascii="Arial Narrow" w:hAnsi="Arial Narrow"/>
                <w:sz w:val="24"/>
                <w:szCs w:val="24"/>
              </w:rPr>
              <w:t xml:space="preserve"> Los contratos deben ejecutarse de buena fe, y por consiguiente obligan no solo a lo que en ellos se expresa, sino a todas las cosas que emanan precisamente de la naturaleza de la obligación, o que por ley pertenecen a ella. La cláusula cuarta del Contrato No. 77-2016 entendida bajo las premisas anteriores, expresa que el contratista se comprometió a: “Entregar la totalidad de los elementos y materiales al Almacén del Fondo de </w:t>
            </w:r>
            <w:r w:rsidRPr="00B908AA">
              <w:rPr>
                <w:rFonts w:ascii="Arial Narrow" w:hAnsi="Arial Narrow"/>
                <w:sz w:val="24"/>
                <w:szCs w:val="24"/>
              </w:rPr>
              <w:lastRenderedPageBreak/>
              <w:t xml:space="preserve">Desarrollo Local de Teusaquillo, previo a la realización de las actividades ofrecidas en la propuesta…”, de lo que resulta sin lugar a dudas que previo a ejecutar las actividades ofrecidas, el contratista debía entregar los bienes al Almacén, de conformidad con los procedimientos que rigen el ingreso de bienes, actuación de la que se debería dejar el registro correspondiente. La cláusula contractual está en consonancia con el procedimiento para el manejo y control de los bienes en los entes públicos del Distrito Capital, que está previsto en la Resolución 001 de 2001 emitida por el Contador General de Bogotá, procedimiento que somete a la responsabilidad del Almacenista, o quien haga sus veces, la recepción, organización, custodia, manejo, conservación, administración y suministro, de los bienes de propiedad ya cargo de la entidad, tal como lo establece el referido acto administrativo, así como las consecuentes obligaciones que se le atribuyen, en virtud de la Resolución 959 de 2016 de la Secretaría Distrital de Gobierno. En efecto, la Resolución No. 001 de 2011, en el numeral 2.3.3. Administración y Control de los bienes – Funciones, establece lo siguiente: </w:t>
            </w:r>
            <w:r w:rsidRPr="00B908AA">
              <w:rPr>
                <w:rFonts w:ascii="Arial Narrow" w:hAnsi="Arial Narrow"/>
                <w:b/>
                <w:sz w:val="24"/>
                <w:szCs w:val="24"/>
              </w:rPr>
              <w:t>“</w:t>
            </w:r>
            <w:r w:rsidRPr="00B908AA">
              <w:rPr>
                <w:rFonts w:ascii="Arial Narrow" w:hAnsi="Arial Narrow"/>
                <w:b/>
                <w:i/>
                <w:sz w:val="24"/>
                <w:szCs w:val="24"/>
              </w:rPr>
              <w:t xml:space="preserve">2.3.3. ADMINISTRACIÓN Y CONTROL DE LOS BIENES – FUNCIONES </w:t>
            </w:r>
            <w:r w:rsidRPr="00B908AA">
              <w:rPr>
                <w:rFonts w:ascii="Arial Narrow" w:hAnsi="Arial Narrow"/>
                <w:i/>
                <w:sz w:val="24"/>
                <w:szCs w:val="24"/>
              </w:rPr>
              <w:t xml:space="preserve">La entidad tendrá un área o funcionario, encargado de mantener actualizadas las novedades, movimientos y saldos de bienes en bodega, servicio o en poder de terceros, debidamente clasificados por cuenta dependencias y responsables. El funcionario encargado </w:t>
            </w:r>
            <w:r w:rsidRPr="00B908AA">
              <w:rPr>
                <w:rFonts w:ascii="Arial Narrow" w:hAnsi="Arial Narrow"/>
                <w:b/>
                <w:i/>
                <w:sz w:val="24"/>
                <w:szCs w:val="24"/>
                <w:u w:val="single"/>
              </w:rPr>
              <w:t>del área será responsable por la recepción, organización, custodia, manejo, conservación, administración y suministro, de los bienes de propiedad ya cargo de la entidad</w:t>
            </w:r>
            <w:r w:rsidRPr="00B908AA">
              <w:rPr>
                <w:rFonts w:ascii="Arial Narrow" w:hAnsi="Arial Narrow"/>
                <w:i/>
                <w:sz w:val="24"/>
                <w:szCs w:val="24"/>
              </w:rPr>
              <w:t xml:space="preserve">, al igual que de aquellos entregados para el cumplimiento de las siguientes funciones: (…) 3. Recibir, codificar, plaquetear e ingresar bienes a bodega, previa confrontación de sus características, marcas, modelos, series, tamaños y cantidades, contra los soportes que ordenan o sustentan las operaciones de ingreso. 4. Almacenar y embarcar materiales, materias primas, y productos terminados en forma técnica y oportuna. Además de proteger los elementos bajo su custodia contra hurto, daño o deterioro (…) 6. Llevar un sistema de registro que permita controles actualizados y exactos de la existencia de bienes en el Almacén y Bodega, elaborar informes, conformar y rendir cuentas con la periodicidad que ordenen los reglamentos internos, los organismos de control fiscal y administrativo, sustentados con los soportes de los movimientos realizados durante el periodo (…)” </w:t>
            </w:r>
            <w:r w:rsidRPr="00B908AA">
              <w:rPr>
                <w:rFonts w:ascii="Arial Narrow" w:hAnsi="Arial Narrow"/>
                <w:sz w:val="24"/>
                <w:szCs w:val="24"/>
              </w:rPr>
              <w:t xml:space="preserve">(Negrillas, cursiva y subrayado fuera del texto original). Adicionalmente, cabe mencionar las funciones de supervisores e interventores, en cuanto al seguimiento del cumplimiento de las obligaciones de los contratistas, contenidas en el  Manual de Supervisión e Interventoría – Código: 1D-GAR-M006 según </w:t>
            </w:r>
            <w:r w:rsidR="00FB78B1" w:rsidRPr="00B908AA">
              <w:rPr>
                <w:rFonts w:ascii="Arial Narrow" w:hAnsi="Arial Narrow"/>
                <w:sz w:val="24"/>
                <w:szCs w:val="24"/>
              </w:rPr>
              <w:t>el</w:t>
            </w:r>
            <w:r w:rsidRPr="00B908AA">
              <w:rPr>
                <w:rFonts w:ascii="Arial Narrow" w:hAnsi="Arial Narrow"/>
                <w:sz w:val="24"/>
                <w:szCs w:val="24"/>
              </w:rPr>
              <w:t xml:space="preserve"> cual dentro de </w:t>
            </w:r>
            <w:r w:rsidRPr="00B908AA">
              <w:rPr>
                <w:rFonts w:ascii="Arial Narrow" w:hAnsi="Arial Narrow"/>
                <w:sz w:val="24"/>
                <w:szCs w:val="24"/>
              </w:rPr>
              <w:lastRenderedPageBreak/>
              <w:t>las Funciones Técnicas los supervisores tienen la obligación de: “</w:t>
            </w:r>
            <w:r w:rsidRPr="00B908AA">
              <w:rPr>
                <w:rFonts w:ascii="Arial Narrow" w:hAnsi="Arial Narrow"/>
                <w:i/>
                <w:sz w:val="24"/>
                <w:szCs w:val="24"/>
              </w:rPr>
              <w:t>Velar porque la ejecución del contrato se haga de acuerdo con las especificaciones técnicas contenidas en los estudios previos, establecidas en el pliego de condiciones, la propuesta y el respectivo contrato</w:t>
            </w:r>
            <w:r w:rsidRPr="00B908AA">
              <w:rPr>
                <w:rFonts w:ascii="Arial Narrow" w:hAnsi="Arial Narrow"/>
                <w:sz w:val="24"/>
                <w:szCs w:val="24"/>
              </w:rPr>
              <w:t>;” en el marco de la cual el supervisor o interventor según corresponda tiene entre otras las siguientes actividades:  “</w:t>
            </w:r>
            <w:r w:rsidRPr="00B908AA">
              <w:rPr>
                <w:rFonts w:ascii="Arial Narrow" w:hAnsi="Arial Narrow"/>
                <w:i/>
                <w:sz w:val="24"/>
                <w:szCs w:val="24"/>
              </w:rPr>
              <w:t>Requerir en el ingreso al almacén de los elementos adquiridos con cargo a los recursos del proyecto en ejecución inmediatamente sean adquiridos, de acuerdo a los instructivos establecidos en el procedimiento 1D-GAR-P1. – Conocer todos los documentos en los que están definidas las condiciones o especificaciones de la ejecución del contrato. – Hacer seguimiento al cumplimiento de los plazos y/o fechas previstas en el cronograma de ejecución. – Requerir al contratista cuando los bienes y servicios no se ejecuten de acuerdo al cronograma, cuando el avance de las metas físicas sea inferior al programado, cuando no se realicen a tiempo las entregas de bienes y servicios, y en general cuando no se dé cumplimiento a lo establecido en el contrato, los pliegos de condiciones, el proyecto, la propuesta y los lineamientos técnicos de la Alcaldía Local y/o entidad distrital que maneja la política, según el objeto contratado</w:t>
            </w:r>
            <w:r w:rsidRPr="00B908AA">
              <w:rPr>
                <w:rFonts w:ascii="Arial Narrow" w:hAnsi="Arial Narrow"/>
                <w:sz w:val="24"/>
                <w:szCs w:val="24"/>
              </w:rPr>
              <w:t xml:space="preserve">”. Adicionalmente, el documento que soporta el ingreso a almacén de bienes adquiridos al amparo de un contrato, cuando el plazo de ejecución del mismo ha vencido, continúa siendo el contrato o el documento que haga sus veces de conformidad con la normatividad aplicable en materia de contratación estatal.  Para el evento en que el plazo de ejecución del contrato que ampara el ingreso de bienes al almacén ha finalizado, para ingresar los bienes se deben allegar los soportes que den cuenta del recibo de los bienes dentro del plazo de ejecución por parte del supervisor o interventor, en los términos establecidos en el contrato, situación que no obstante puede ser objeto entre otros de hallazgos administrativos por incumplimiento de los procedimientos establecidos en el Sistema Integrado de Gestión para el supervisor. La clasificación de los bienes para realizar el procedimiento de ingreso de los </w:t>
            </w:r>
            <w:r w:rsidR="00FB78B1" w:rsidRPr="00B908AA">
              <w:rPr>
                <w:rFonts w:ascii="Arial Narrow" w:hAnsi="Arial Narrow"/>
                <w:sz w:val="24"/>
                <w:szCs w:val="24"/>
              </w:rPr>
              <w:t>bienes</w:t>
            </w:r>
            <w:r w:rsidRPr="00B908AA">
              <w:rPr>
                <w:rFonts w:ascii="Arial Narrow" w:hAnsi="Arial Narrow"/>
                <w:sz w:val="24"/>
                <w:szCs w:val="24"/>
              </w:rPr>
              <w:t xml:space="preserve"> depende exclusivamente del concepto técnico que emita el responsable del almacén, tal y como lo establece la Resolución 001 de 2001 de la Contaduría General de la Nación, así como las consecuentes obligaciones que se atribuyen, en virtud de la Resolución 959 de 2016 de la Secretaría Distrital de Gobierno. </w:t>
            </w:r>
          </w:p>
          <w:p w:rsidR="003E0D55" w:rsidRPr="00B908AA" w:rsidRDefault="003E0D55" w:rsidP="003E0D55">
            <w:pPr>
              <w:pStyle w:val="Standard"/>
              <w:jc w:val="both"/>
              <w:rPr>
                <w:rFonts w:ascii="Arial Narrow" w:hAnsi="Arial Narrow" w:cs="Garamond-Bold"/>
                <w:bCs/>
                <w:sz w:val="24"/>
                <w:szCs w:val="24"/>
              </w:rPr>
            </w:pPr>
            <w:r w:rsidRPr="00B908AA">
              <w:rPr>
                <w:rFonts w:ascii="Arial Narrow" w:hAnsi="Arial Narrow"/>
                <w:sz w:val="24"/>
                <w:szCs w:val="24"/>
              </w:rPr>
              <w:t xml:space="preserve">Es de anotar que siempre que la recepción de los bienes haya sido realizada durante el plazo de ejecución por parte del supervisor o interventor o el competente designado por el Fondo de Desarrollo Local para verificar la correcta ejecución del contrato, se debe realizar el ingreso a almacén de los bienes en cuestión, allegando los respectivos soportes que den cuenta de </w:t>
            </w:r>
            <w:r w:rsidRPr="00B908AA">
              <w:rPr>
                <w:rFonts w:ascii="Arial Narrow" w:hAnsi="Arial Narrow"/>
                <w:sz w:val="24"/>
                <w:szCs w:val="24"/>
              </w:rPr>
              <w:lastRenderedPageBreak/>
              <w:t xml:space="preserve">la entrega de los mismos durante el plazo de ejecución y conforme a las especificaciones y términos definidos en el contrato. En el presente caso, dado que no existe evidencia del ingreso al Almacén del Fondo de Desarrollo Local, de las cartillas que de acuerdo con la información suministrada fueron entregadas a los Asistentes a los eventos programados en el marco de la cuarta temporada de danza, resulta improcedente imponer al Almacenista la firma de un acta de recibo de elementos, a posteriori, sin que hubiere tenido la percepción física de los mismos, porque como se indicó en párrafos anteriores, este recibo es, previo a la realización del evento, y se emite bajo su responsabilidad. En estas circunstancias, en concepto de esta Dirección Jurídica, no </w:t>
            </w:r>
            <w:r w:rsidR="00FB78B1" w:rsidRPr="00B908AA">
              <w:rPr>
                <w:rFonts w:ascii="Arial Narrow" w:hAnsi="Arial Narrow"/>
                <w:sz w:val="24"/>
                <w:szCs w:val="24"/>
              </w:rPr>
              <w:t>sería</w:t>
            </w:r>
            <w:r w:rsidRPr="00B908AA">
              <w:rPr>
                <w:rFonts w:ascii="Arial Narrow" w:hAnsi="Arial Narrow"/>
                <w:sz w:val="24"/>
                <w:szCs w:val="24"/>
              </w:rPr>
              <w:t xml:space="preserve"> posible ordenar el ingreso de las cartillas al Almacén, a posteriori, y, de contera, ordenar el pago respectivo, sin tener en cuenta la manifestación del Almacenista en el sentido que no tuvo la percepción física de las cartillas, previo a la realización del evento. De no proceder el reconocimiento del pago de las cartillas a que se hizo referencia, el FDL debe utilizar los mecanismos establecidos en la Ley, que serían, de una </w:t>
            </w:r>
            <w:r w:rsidR="00FB78B1" w:rsidRPr="00B908AA">
              <w:rPr>
                <w:rFonts w:ascii="Arial Narrow" w:hAnsi="Arial Narrow"/>
                <w:sz w:val="24"/>
                <w:szCs w:val="24"/>
              </w:rPr>
              <w:t>parte,</w:t>
            </w:r>
            <w:r w:rsidRPr="00B908AA">
              <w:rPr>
                <w:rFonts w:ascii="Arial Narrow" w:hAnsi="Arial Narrow"/>
                <w:sz w:val="24"/>
                <w:szCs w:val="24"/>
              </w:rPr>
              <w:t xml:space="preserve"> declarar el incumplimiento parcial del contrato porque el contratista no se sujetó a los procedimientos establecidos en el contrato para legalizar el ingreso de los bienes al Almacén, y, de otra, proceder a la liquidación del respectivo contrato, ya sea en forma bilateral, o unilateral, según corresponda. </w:t>
            </w:r>
          </w:p>
        </w:tc>
      </w:tr>
      <w:tr w:rsidR="003E0D55" w:rsidRPr="00B908AA" w:rsidTr="00BD629A">
        <w:tc>
          <w:tcPr>
            <w:tcW w:w="2972" w:type="dxa"/>
          </w:tcPr>
          <w:p w:rsidR="003E0D55" w:rsidRPr="00B908AA" w:rsidRDefault="003E0D55" w:rsidP="003E0D55">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lastRenderedPageBreak/>
              <w:t>Fecha: 14-06-2018</w:t>
            </w:r>
          </w:p>
          <w:p w:rsidR="003E0D55" w:rsidRPr="00B908AA" w:rsidRDefault="003E0D55" w:rsidP="003E0D55">
            <w:pPr>
              <w:autoSpaceDE w:val="0"/>
              <w:autoSpaceDN w:val="0"/>
              <w:adjustRightInd w:val="0"/>
              <w:rPr>
                <w:rFonts w:ascii="Arial Narrow" w:hAnsi="Arial Narrow" w:cs="Garamond-Bold"/>
                <w:b/>
                <w:bCs/>
                <w:sz w:val="24"/>
                <w:szCs w:val="24"/>
              </w:rPr>
            </w:pPr>
          </w:p>
        </w:tc>
        <w:tc>
          <w:tcPr>
            <w:tcW w:w="5856" w:type="dxa"/>
          </w:tcPr>
          <w:p w:rsidR="003E0D55" w:rsidRPr="00B908AA" w:rsidRDefault="003E0D55" w:rsidP="003E0D55">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Dra. Yolanda Villabona. Directora de Contratación Secretaría Distrital de Gobierno</w:t>
            </w:r>
          </w:p>
        </w:tc>
      </w:tr>
      <w:tr w:rsidR="003E0D55" w:rsidRPr="00B908AA" w:rsidTr="00BD629A">
        <w:tc>
          <w:tcPr>
            <w:tcW w:w="2972" w:type="dxa"/>
          </w:tcPr>
          <w:p w:rsidR="003E0D55" w:rsidRPr="00B908AA" w:rsidRDefault="003E0D55" w:rsidP="003E0D55">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TEMA: </w:t>
            </w:r>
          </w:p>
          <w:p w:rsidR="003E0D55" w:rsidRPr="00B908AA" w:rsidRDefault="003E0D55" w:rsidP="003E0D55">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PAGO DE FACTURA DE SERVICIOS PÚBLICOS/</w:t>
            </w:r>
          </w:p>
          <w:p w:rsidR="003E0D55" w:rsidRPr="00B908AA" w:rsidRDefault="003E0D55" w:rsidP="003E0D55">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DOCUMENTOS SOPORTE INCOMPLETOS </w:t>
            </w:r>
          </w:p>
        </w:tc>
        <w:tc>
          <w:tcPr>
            <w:tcW w:w="5856" w:type="dxa"/>
          </w:tcPr>
          <w:p w:rsidR="003E0D55" w:rsidRPr="00B908AA" w:rsidRDefault="003E0D55" w:rsidP="003E0D55">
            <w:pPr>
              <w:autoSpaceDE w:val="0"/>
              <w:autoSpaceDN w:val="0"/>
              <w:adjustRightInd w:val="0"/>
              <w:jc w:val="center"/>
              <w:rPr>
                <w:rFonts w:ascii="Arial Narrow" w:hAnsi="Arial Narrow" w:cs="Garamond-Bold"/>
                <w:b/>
                <w:bCs/>
                <w:sz w:val="24"/>
                <w:szCs w:val="24"/>
              </w:rPr>
            </w:pPr>
          </w:p>
          <w:p w:rsidR="003E0D55" w:rsidRPr="00B908AA" w:rsidRDefault="003E0D55" w:rsidP="003E0D55">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3E0D55" w:rsidRPr="00B908AA" w:rsidTr="00BD629A">
        <w:tc>
          <w:tcPr>
            <w:tcW w:w="2972" w:type="dxa"/>
          </w:tcPr>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 </w:t>
            </w:r>
          </w:p>
        </w:tc>
        <w:tc>
          <w:tcPr>
            <w:tcW w:w="5856" w:type="dxa"/>
          </w:tcPr>
          <w:p w:rsidR="003E0D55" w:rsidRPr="00B908AA" w:rsidRDefault="003E0D55" w:rsidP="003E0D55">
            <w:pPr>
              <w:autoSpaceDE w:val="0"/>
              <w:autoSpaceDN w:val="0"/>
              <w:adjustRightInd w:val="0"/>
              <w:jc w:val="both"/>
              <w:rPr>
                <w:rFonts w:ascii="Arial Narrow" w:hAnsi="Arial Narrow" w:cs="Garamond-Bold"/>
                <w:bCs/>
                <w:sz w:val="24"/>
                <w:szCs w:val="24"/>
              </w:rPr>
            </w:pPr>
            <w:r w:rsidRPr="00B908AA">
              <w:rPr>
                <w:rFonts w:ascii="Arial Narrow" w:hAnsi="Arial Narrow" w:cs="Garamond-Bold"/>
                <w:bCs/>
                <w:sz w:val="24"/>
                <w:szCs w:val="24"/>
              </w:rPr>
              <w:t xml:space="preserve">Se solicita concepto sobre si puede realizarse el pago de la factura presentada por la Empresa Aguas de Bogotá S.A. E.S.P., sin que ésta se acompañe de los soportes descritos en los numerales 6 y 7 de la presente comunicación, o si es pertinente que se soliciten dichos soportes, dado que en su momento el Fondo de Desarrollo Local no elaboró un estudio de mercado que determinara previamente los precios unitarios de la intervención. Los documentos requeridos por la Alcaldía Local son “aquellos que den cuenta de los valores efectivamente pagados por la empresa y que correspondan a las intervenciones de cada punto crítico”, toda vez que la Alcaldía no cuenta con un estudio de mercado propio. Concepto: 1.- En nuestro concepto no hay lugar a solicitar los documentos que está solicitando la Alcaldía Local y esta debería proceder al pago de los servicios facturados, siempre y cuando se verifique que los mismos fueron prestados </w:t>
            </w:r>
            <w:r w:rsidRPr="00B908AA">
              <w:rPr>
                <w:rFonts w:ascii="Arial Narrow" w:hAnsi="Arial Narrow" w:cs="Garamond-Bold"/>
                <w:bCs/>
                <w:sz w:val="24"/>
                <w:szCs w:val="24"/>
              </w:rPr>
              <w:lastRenderedPageBreak/>
              <w:t xml:space="preserve">y que se está cobrando el valor indicado en el presupuesto realizado por la empresa AGUAS DE BOGOTÁ, al que hacen referencia los estudios previos del contrato. 2.- En efecto: a.- En los estudios previos se señala que el “estudio para determinar el presupuesto lo realizó la Empresa Aguas de Bogotá, y se describe en la propuesta enviada por ellos, la cual está anexa a este documento en ANEXO No. 1.” A partir de ese presupuesto se fijó el presupuesto oficial de $ 146.036.815. En los estudios se señaló que el pago se realizará 90% mes vencido según ejecución y el 10% restante contra liquidación del contrato. B.- En el convenio, cuyo objeto consistió en “aunar esfuerzos operativos, administrativos y financieros para realizar actividades de interventoría física, social y mantenimiento de los puntos críticos de la localidad de Rafael Uribe Uribe”, se dispuso que los aportes serían desembolsados así: - Hasta el 90% mes vencido contra ejecución física y financiera acorde a las actividades desarrolladas y soportadas durante el mes de ejecución. – El 10% restante una vez se suscriba acta de liquidación y se verifique el cumplimiento de AGUAS DE BOGOTÁ S.A. E.S.P”. 3.- Así las cosas, el valor de los servicios quedó establecido en el contrato a partir del presupuesto presentado por AGUAS DE BOGOTA, en la medida en que esto fue lo previsto en sus estipulaciones. Por lo tanto, las partes conocen cuáles son los valores a pagar por las actividades realizadas, conforme con el acuerdo de voluntades celebrado por ellas. El valor de los servicios está determinado por la propuesta de AGUAS DE BOGOTÁ, que hace parte integral del convenio y fue aceptada por el Fondo Local al suscribir el convenio y no existe una razón legal para desconocer lo pactado y solicitar una justificación de los precios que ya fueron aceptados por la entidad al momento de la celebración del Convenio. 4.- El hecho de que la entidad no haya realizado un estudio de mercado durante la etapa </w:t>
            </w:r>
            <w:r w:rsidR="00FB78B1" w:rsidRPr="00B908AA">
              <w:rPr>
                <w:rFonts w:ascii="Arial Narrow" w:hAnsi="Arial Narrow" w:cs="Garamond-Bold"/>
                <w:bCs/>
                <w:sz w:val="24"/>
                <w:szCs w:val="24"/>
              </w:rPr>
              <w:t>precontractual</w:t>
            </w:r>
            <w:r w:rsidRPr="00B908AA">
              <w:rPr>
                <w:rFonts w:ascii="Arial Narrow" w:hAnsi="Arial Narrow" w:cs="Garamond-Bold"/>
                <w:bCs/>
                <w:sz w:val="24"/>
                <w:szCs w:val="24"/>
              </w:rPr>
              <w:t xml:space="preserve"> para hacer un análisis directo de los precios ofrecidos por AGUAS DE BOGOTÁ, no implica que pueda desconocerse lo pactado, punto en el cual es necesario recordar que, según el artículo 1602 del C.C. “todo contrato legalmente celebrado es una ley para los contratantes, y no puede ser invalidado sino por su consentimiento mutuo o por causas legales.” Cuando se contrata la prestación de un servicio y el valor del mismo está fijado de manera igual por quien lo presta, puede no resultar necesario realizar un estudio para determinar el precio, pues en tal caso el precio por el cual se contrata es aquel que cobra la empresa prestadora de conformidad con sus tarifas (…).</w:t>
            </w:r>
          </w:p>
        </w:tc>
      </w:tr>
      <w:tr w:rsidR="003E0D55" w:rsidRPr="00B908AA" w:rsidTr="00BD629A">
        <w:tc>
          <w:tcPr>
            <w:tcW w:w="2972" w:type="dxa"/>
          </w:tcPr>
          <w:p w:rsidR="003E0D55" w:rsidRPr="00B908AA" w:rsidRDefault="003E0D55" w:rsidP="003E0D55">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lastRenderedPageBreak/>
              <w:t>Fecha: 30-08-2018</w:t>
            </w:r>
          </w:p>
          <w:p w:rsidR="003E0D55" w:rsidRPr="00B908AA" w:rsidRDefault="003E0D55" w:rsidP="003E0D55">
            <w:pPr>
              <w:autoSpaceDE w:val="0"/>
              <w:autoSpaceDN w:val="0"/>
              <w:adjustRightInd w:val="0"/>
              <w:rPr>
                <w:rFonts w:ascii="Arial Narrow" w:hAnsi="Arial Narrow" w:cs="Garamond-Bold"/>
                <w:b/>
                <w:bCs/>
                <w:sz w:val="24"/>
                <w:szCs w:val="24"/>
              </w:rPr>
            </w:pPr>
          </w:p>
        </w:tc>
        <w:tc>
          <w:tcPr>
            <w:tcW w:w="5856" w:type="dxa"/>
          </w:tcPr>
          <w:p w:rsidR="003E0D55" w:rsidRPr="00B908AA" w:rsidRDefault="003E0D55" w:rsidP="003E0D55">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 Martín Bermúdez. Asesor Dirección de Contratación Secretaría Distrital de Gobierno.</w:t>
            </w:r>
          </w:p>
        </w:tc>
      </w:tr>
      <w:tr w:rsidR="003E0D55" w:rsidRPr="00B908AA" w:rsidTr="00BD629A">
        <w:trPr>
          <w:trHeight w:val="240"/>
        </w:trPr>
        <w:tc>
          <w:tcPr>
            <w:tcW w:w="2972" w:type="dxa"/>
          </w:tcPr>
          <w:p w:rsidR="003E0D55" w:rsidRPr="00B908AA" w:rsidRDefault="003E0D55" w:rsidP="003E0D55">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lastRenderedPageBreak/>
              <w:t xml:space="preserve">TEMA: </w:t>
            </w:r>
            <w:r>
              <w:rPr>
                <w:rFonts w:ascii="Arial Narrow" w:hAnsi="Arial Narrow" w:cs="Garamond-Bold"/>
                <w:b/>
                <w:bCs/>
                <w:sz w:val="24"/>
                <w:szCs w:val="24"/>
              </w:rPr>
              <w:t xml:space="preserve"> PRINCIPIOS DE LA CONTRATACIÓN ESTATAL/SELECCIÓN OBJETIVA DE CONTRATISTAS/FACULTAD INTERPRETATIVA DEL PLIEGO DE CONDICIONES</w:t>
            </w:r>
          </w:p>
          <w:p w:rsidR="003E0D55" w:rsidRPr="00B908AA" w:rsidRDefault="003E0D55" w:rsidP="003E0D55">
            <w:pPr>
              <w:autoSpaceDE w:val="0"/>
              <w:autoSpaceDN w:val="0"/>
              <w:adjustRightInd w:val="0"/>
              <w:jc w:val="both"/>
              <w:rPr>
                <w:rFonts w:ascii="Arial Narrow" w:hAnsi="Arial Narrow" w:cs="Garamond-Bold"/>
                <w:b/>
                <w:bCs/>
                <w:sz w:val="24"/>
                <w:szCs w:val="24"/>
              </w:rPr>
            </w:pPr>
          </w:p>
        </w:tc>
        <w:tc>
          <w:tcPr>
            <w:tcW w:w="5856" w:type="dxa"/>
          </w:tcPr>
          <w:p w:rsidR="003E0D55" w:rsidRPr="00B908AA" w:rsidRDefault="003E0D55" w:rsidP="003E0D55">
            <w:pPr>
              <w:autoSpaceDE w:val="0"/>
              <w:autoSpaceDN w:val="0"/>
              <w:adjustRightInd w:val="0"/>
              <w:jc w:val="center"/>
              <w:rPr>
                <w:rFonts w:ascii="Arial Narrow" w:hAnsi="Arial Narrow" w:cs="Garamond-Bold"/>
                <w:b/>
                <w:bCs/>
                <w:sz w:val="24"/>
                <w:szCs w:val="24"/>
              </w:rPr>
            </w:pPr>
          </w:p>
          <w:p w:rsidR="003E0D55" w:rsidRPr="00B908AA" w:rsidRDefault="003E0D55" w:rsidP="003E0D55">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3E0D55" w:rsidRPr="00B908AA" w:rsidTr="00BD629A">
        <w:trPr>
          <w:trHeight w:val="240"/>
        </w:trPr>
        <w:tc>
          <w:tcPr>
            <w:tcW w:w="2972" w:type="dxa"/>
          </w:tcPr>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 </w:t>
            </w:r>
          </w:p>
        </w:tc>
        <w:tc>
          <w:tcPr>
            <w:tcW w:w="5856" w:type="dxa"/>
          </w:tcPr>
          <w:p w:rsidR="003E0D55" w:rsidRPr="00B908AA" w:rsidRDefault="003E0D55" w:rsidP="003E0D55">
            <w:pPr>
              <w:pStyle w:val="NormalWeb"/>
              <w:jc w:val="both"/>
              <w:rPr>
                <w:rFonts w:ascii="Arial Narrow" w:hAnsi="Arial Narrow" w:cs="Garamond-Bold"/>
                <w:bCs/>
              </w:rPr>
            </w:pPr>
            <w:r>
              <w:t xml:space="preserve">(…) </w:t>
            </w:r>
            <w:r w:rsidRPr="00A02051">
              <w:t xml:space="preserve">Así las cosas, esos principios de que trata el Estatuto de Contratación de la Administración Pública, deben ser observados en todos los procesos de selección que adelante el Estado, en consecuencia, resultan ser aplicables al presente proceso de selección. En consonancia con lo anterior, en el régimen jurídico de los contratos estatales deben ser observadas estas reglas de conducta. Sobre el particular, se tiene que el artículo 24 de la Ley 80 de 1993, establece las obligaciones que debe observar la administración en sus diferentes procesos de selección en aplicación del principio de transparencia. Es así que la Sección Tercera de la Sala de lo Contencioso Administrativo del Consejo de Estado ha establecido frente a este tópico: “(...) El principio de transparencia en la contratación estatal comprende aspectos tales como la claridad y la nitidez en la actuación contractual para poder hacer efectiva la supremacía del interés general, la libre concurrencia de los interesados en contratar con el Estado, la igualdad de los oferentes, la publicidad de todo el iter contractual, la selección objetiva del contratista, el derecho a cuestionar o controvertir las decisiones que en esta materia realice la Administración, etc. La libre concurrencia de los interesados implica la posibilidad de estos de acceder e intervenir en el proceso de selección y la imposibilidad para la Administración de establecer, sin justificación legal alguna, mecanismos o previsiones que conduzcan a la exclusión de potenciales oferentes. Y es que de no ser así se conculcaría también el deber de selección objetiva porque al excluir posibles proponentes se estaría creando un universo restringido de oferentes en el que perfectamente puede no estar la mejor oferta. El artículo 24 de la Ley 80 de 1993 para asegurar el principio de transparencia, después de sentar como norma general que la escogencia del contratista debía hacerse por medio de licitación, regulaba los casos en que se podía contratar directamente...”2 (Cursiva, negrilla y subrayado por fuera del texto original). Respecto a la aplicación del señalado principio, los literales b) y c) del referenciado artículo 24 de la Ley 80 de 1993, dispuso que en las reglas de juego o </w:t>
            </w:r>
            <w:r w:rsidRPr="00A02051">
              <w:lastRenderedPageBreak/>
              <w:t xml:space="preserve">pliego de condiciones de las diferentes modalidades de selección, se deberían determinar reglas objetivas, justas, claras y completas que permitan la confección de ofrecimientos de la misma índole, aseguren una escogencia objetiva y eviten las declaratorias de desierta del proceso de selección, pero adicionalmente estableció que se deberían definir con precisión las condiciones de costo y calidad de los bienes, obras o servicios necesarios para la ejecución del objeto del contrato. Estas actuaciones derivadas de la aplicación de aquel mandato imperativo (principio de transparencia) le es exigible a las entidades públicas que busquen solventar determinada necesidad institucional y de prestación de servicio a través de la selección de contratistas y posteriormente la celebración del contrato estatal, pues una actuación en contrario acarrearía y traería como consecuencia la ineficacia de pleno derecho de aquellas estipulaciones de los pliegos de condiciones, según reza el artículo en cuestión. Por lo dicho resulta que aquel principio encuentra un complemento de significativa importancia consistente en el deber de escoger objetivamente al contratista, es decir, a través de reglas objetivas, claras, iguales y de la misma índole frente a sus ofrecimientos a fin de darle el mismo trato a los participantes en los procesos de selección3. En lo que respecta al principio de selección objetiva como complemento del principio de transparencia con los matices que ordena la Ley, se tiene que aquel debe ser entendido como un principio-regla que indica que la selección del contratista debe hacerse bajo los mismos criterios de valoración y sin intereses de tipo subjetivo. En consonancia con lo dicho hasta aquí, señala la Sección Tercera del Consejo de Estado lo siguiente: “(...) En este sentido, la selección objetiva consiste en la escogencia de la oferta más favorable para la entidad, siendo improcedente considerar para ello motivaciones subjetivas. Para tal efecto, con carácter enunciativo, la norma consagra factores determinantes para esa elección, los cuales deben constar de manera clara, detallada y concreta en el respectivo pliego de condiciones o términos de referencia, o en el análisis previo a la suscripción del contrato si se trata de contratación directa, y que sobre todo, deben apuntar al cumplimiento de los fines estatales perseguidos con la contratación pública. Lo anterior significa que en la contratación, sea mediante licitación o concurso públicos o contratación directa, la administración está obligada a respetar los principios que la rigen -transparencia, economía y responsabilidad- y los criterios de selección </w:t>
            </w:r>
            <w:r w:rsidRPr="00A02051">
              <w:lastRenderedPageBreak/>
              <w:t xml:space="preserve">objetiva establecidos en las bases del proceso para la escogencia del contratista al que se le adjudicará el contrato por haber presentado la mejor propuesta, tales como cumplimiento, experiencia, organización, equipos, plazo, precio, etc., los cuales deberán ser previamente analizados y evaluados por la entidad con arreglo a las condiciones del pliego que rigen el respectivo proceso, con el fin de determinar en forma motivada que la propuesta elegida resulta ser en realidad la más ventajosa, de suerte que el concepto jurídico indeterminado “oferta más ventajosa” del artículo 29 citado pueda ser susceptible de concreción en  sede de revisión de la legalidad y razonabilidad de la comparación de los ofrecimientos, por cuanto esta actividad no es discrecional ni arbitraria, sino reglada, en tanto pone a la administración en frente del inequívoco camino de elegir aquella oferta que se ajusta a dichas condiciones y adjudicar al proponente que supera a los demás. En consecuencia, la intención del Legislador al definir legalmente este principio, fue la de regular la escogencia de la mejor oferta mediante una selección en la que prime la transparencia, imparcialidad e igualdad de oportunidades, y ajena a consideraciones subjetivas, para lo cual juegan un papel preponderante los factores y criterios de selección que en función a la específica necesidad haya fijado la administración en los respectivos pliegos de condiciones o términos de referencia.”4 (Cursiva, negrilla y subrayado por fuera del texto original) En ese contexto y teniendo en cuenta lo establecido en los artículos 4, 11 y 14 del Estatuto de Contratación de la Administración Pública, la Alcaldía Local, debe adoptar las medidas legales que conduzcan a satisfacer las necesidades institucionales, pero que además garantice los principios que ilustran la contratación estatal, como lo son el de transparencia y selección objetiva. En concordancia con el párrafo que precede, se tiene que la razón principal de la Contratación Estatal es precisamente garantizar los fines estatales que se buscan cumplir a través de ella, como lo es para el presente caso, como elementos indispensable para la realización de la misión para la cual ha sido creada la Alcaldía Local5, razón está que justifica en aplicación de los principios que ilustran la contratación estatal, evidenciar y determinar de qué forma la Entidad puede continuar el proceso de selección respetando las reglas instituidas y los intereses legítimos de los proponentes. Ahora bien, frente al caso en concreto el pliego de condiciones determinó como regla para el diligenciamiento del anexo técnico que, este no podría ser objeto de modificación por parte de los </w:t>
            </w:r>
            <w:r w:rsidRPr="00A02051">
              <w:lastRenderedPageBreak/>
              <w:t xml:space="preserve">proponentes y en otros apartes del pliego, se fijaron condiciones disimiles relacionadas con la vigencia de la póliza de estabilidad de estabilidad de la obra, lo cual conllevó a que en el momento de la presentación de las propuestas, no hubiere uniformidad en cuanto al diligenciamiento del anexo técnico por parte de los proponentes, no obstante y pese a ello, la Administración considera que, tal circunstancia más allá de imposibilitar el análisis comparativo objetivo frente a la determinación de este ítem, no es per se, un motivo que invalide el ejercicio comparativo del ofrecimiento económico en su totalidad ya que la exclusión del mismo, posibilitaría un análisis comparativo en igual de condiciones para todos los proponentes. Sobre el particular, no debemos olvidar que, el fin de la contratación estatal está enfocado al cumplimiento de los cometidos estatales utilizando todos los instrumentos que permita la Ley para la escogencia del contratista que mejor se adecúe a los intereses de la Entidad. Es por ello que, la Administración al aplicar el Pliego de Condiciones tiene la discrecionalidad de determinar que, disposiciones del mismo afectan o no la selección del contratista, siempre y cuando dentro tal ejercicio no se afecte el deber de selección objetiva del contratista tal y como se ha venido precisando.   De allí que, haya lugar a diferenciar entre la potestad discrecional de la Administración, de la facultad de interpretación o hermenéutica, esta última permitida no sólo por la Ley de manera expresa sino necesaria para llenar los vacíos o lagunas que se presenten en el pliego o, en su defecto, las contradicciones que puedan desprenderse del texto, interpretación que debe estar ceñida a los principios generales del derecho (público y privado), a los de la función administrativa, a la finalidad del pliego, y a la protección del interés general.  Como se desprende del presente asunto, la Ley avala la posibilidad de que la Administración interprete el pliego de condiciones, con miras a que ciertas formalidades no sacrifiquen la eficiencia y eficacia del proceso de escogencia del contratista; corresponde, por ende, a la entidad la valoración de la respectiva disposición para determinar si el requisito inobservado es sustancial o simplemente formal y, por lo tanto, si es posible su subsanación sin afectar los principios de igualdad y de selección objetiva.  Así las cosas, siendo el Pliego de Condiciones un acto jurídico mixto que, en cierto modo, contienen descripciones y parámetros generales que reglan el proceso, es posible que sea viable mediante su hermenéutica o interpretación, solucionar un </w:t>
            </w:r>
            <w:r w:rsidRPr="00A02051">
              <w:lastRenderedPageBreak/>
              <w:t xml:space="preserve">problema estrictamente formal de una propuesta o en su defecto como ocurrió en nuestro caso en la no aplicabilidad de una de las cláusulas o disposiciones fijadas y de esta forma proceder a la evaluación objetiva de las propuestas presentadas.  Sobre el particular el Consejo de Estado en Sentencia del 24 de julio de 2013 _sobre las reglas para la interpretación del Pliego de Condiciones determinó lo siguiente: En el procedimiento de selección del contratista no puede operar la discrecionalidad administrativa –positiva o material y negativa o formal– en ninguna de sus manifestaciones, ya que se trata de un trámite regulado que impide que la administración introduzca criterios sustanciales o formales que puedan incidir en la escogencia del contratista según los criterios de valoración previamente establecidos. En otros términos, en la actividad precontractual es el fruto del principio de planeación, postulado que hace exigible que las decisiones que se adopten a lo largo del trámite precontractual sean de carácter motivado, con apoyo en los parámetros y directrices fijadas en el pliego de condiciones. Por lo tanto, es posible que la administración pública tenga que resolver cuestiones que le plantean los proponentes a lo largo del proceso de selección, decisiones que deberán estar fundamentadas en el contenido de los pliegos y ajustarse a los principios de la ley 80 de 1993. De allí que, la posible existencia de una discrecionalidad administrativa queda reducida a que la administración pueda interpretar el pliego de condiciones a efectos de que las exigencias formales no hagan nugatoria la eficiencia del procedimiento y, por lo tanto, se impida la escogencia de la mejor propuesta; lo anterior, de conformidad con lo establecido en el numeral 2 del artículo 25 de la ley 80 de 1993, precepto que, en relación con el principio de economía, avala la posibilidad de que los pliegos sean objeto de hermenéutica administrativa, con la finalidad de que no se condene al procedimiento a la declaratoria de desierta o a decisiones inhibitorias De igual forma, se considera de suma importancia señalar que, en el ejercicio de la potestad interpretativa del Pliego de Condiciones, la Entidad debe actuar no solo con estricta observancia a los principios de selección objetiva, transparencia y responsabilidad, sino que se debe acudir al principio de igualdad, como quiera que a través de este se materializa la escogencia objetiva del contratista veamos porque: La efectividad del principio de igualdad supone un trato igualitario a todos los oferentes tanto en la exigencia de los requisitos previstos en el pliego de condiciones, como en la calificación de sus ofertas y, por </w:t>
            </w:r>
            <w:r w:rsidRPr="00A02051">
              <w:lastRenderedPageBreak/>
              <w:t xml:space="preserve">supuesto, en la selección de aquella que resulte más favorable para los intereses de la administración. El principio de igualdad exige que, la Administración otorgue idéntica oportunidad para participar a todos aquellos que están en condiciones de ofertar lo requerido por ella, motivo por el cual los procesos de selección de contratistas se inspiran de manera preponderante en este principio.  En tanto que, el principio de libre concurrencia es la causa directa de la licitación pública, por cuanto dispone que, la selección de los contratistas debe edificarse sobre las bases de:  1) La igualdad respecto de todos los interesados;  2) La objetividad, neutralidad y claridad de la reglas o condiciones impuestas para la presentación de las ofertas;  3) La garantía del derecho de contradicción;  4) La publicidad de las actuaciones de la administración;  5) La motivación expresa, precisa y detallada del informe de evaluación del acto de adjudicación o de la declaratoria desierta;  6) La escogencia objetiva del contratista idóneo que ofrezca la oferta más favorable para los intereses de la administración, finalmente el principio de libre concurrencia busca garantizar la facultad de participar en el trámite concursal a todos los posibles proponentes que tengan posibilidad de ofrecer los bienes o servicios que demanda la administración. En este sentido el Consejo de Estado en sentencia de expediente 12037 de (2001) con ponencia del magistrado Alier Eduardo Hernández Henríquez expreso lo siguiente: “Son elementos fundamentales del proceso licitatorio: la libre concurrencia, la igualdad de los oferentes y la sujeción estricta al pliego de condiciones. La libre concurrencia permite el acceso al proceso licitatorio de todas las personas o sujetos de derecho interesados en contratar con el Estado, mediante la adecuada publicidad de los actos previos o del llamado a licitar. Es un principio relativo, no absoluto o irrestricto, porque el interés público impone limitaciones de concurrencia relativas, entre otras, a la naturaleza del contrato y a la capacidad e idoneidad del oferente. La igualdad de los licitadores, presupuesto fundamental que garantiza la selección objetiva y desarrolla el 8 principio de transparencia que orienta la contratación estatal, se traduce en la identidad de oportunidades dispuesta para los sujetos interesados en contratar con la Administración. Y la sujeción estricta al pliego de condiciones es un principio fundamental del proceso licitatorio, que desarrolla la objetividad connatural a este procedimiento, en consideración a que el pliego es fuente principal de los derechos y obligaciones de la administración y de los </w:t>
            </w:r>
            <w:r w:rsidRPr="00A02051">
              <w:lastRenderedPageBreak/>
              <w:t xml:space="preserve">proponentes.” No este de más en señalar en lo relacionado con el principio de igualdad que este principio emana de su consagración constitucional del preámbulo y de los artículos 13 y 209 de la Constitución Política.  Se trata de un Derecho Fundamental a la luz del artículo 13 y principio 12 fundamental de la función pública al tenor del artículo 209. En virtud de este principio la administración debe garantizar que los interesados y participantes en un proceso de selección se encuentren en igual situación, obtengan las mismas facilidades y estén en posibilidad de efectuar sus ofertas sobre las mismas bases y condiciones. Este principio prohíbe la discriminación, garantiza la imparcialidad y vela a su vez por otros principios del estatuto contractual, como los de selección objetiva y transparencia. El principio de igualdad, como tal, no se encuentra descrito de manera expresa en la Ley 80 de 1993 o la Ley 1150 de 2007, no obstante, está inmerso en los artículos 24, numeral 5, de la mencionada Ley, donde dispone que todas las reglas deben ser generales e impersonales en el pliego de condiciones. El Consejo de Estado, en la misma sentencia expediente 12037 de 2001 con ponencia del magistrado Alier Hernández respecto de la igualdad en la licitación pública argumentó que: (…) “…la Administración está obligada constitucional (art. 13 C.P.) y legalmente (art. 24, 29 y 30, Ley 80 de 1993) a garantizar el derecho a la igualdad de los oferentes o competidores. Por virtud de esta garantía, todos los sujetos interesados en el proceso de licitación han de estar en idénticas condiciones.” El término de idénticas condiciones hace referencia a que desde el comienzo del procedimiento de la licitación y hasta la adjudicación del contrato, todos y cada uno de los licitantes u oferentes se encuentren en idéntica situación, evitando así desventajas para unos y otros. Finalmente, en lo relacionado con el principio de libre concurrencia podemos decir además de los citado en párrafos anteriores que este se desprende del principio de igualdad antes citado, en concordancia también con los artículos 333 y 334 de la Constitución Política los cuales hacen referencia a la libertad de empresa, y cuyo propósito se traduce en el estímulo al mercado competitivo y la eficiencia económica.  Por lo que en el ámbito de la contratación pública este principio se asemeja a “un modelo de conducta”, al precisar que, este principio resalta el derecho que tienen los interesados y contratistas en igualdad de condiciones en la participación en un proceso de selección, buscando como finalidad el de evitar prácticas discriminatorias y abusos de posición dominante en los </w:t>
            </w:r>
            <w:r w:rsidRPr="00A02051">
              <w:lastRenderedPageBreak/>
              <w:t xml:space="preserve">procesos de selección de contratistas.  La libre concurrencia surge entonces como una garantía que busca la presentación del mayor número de oferentes e impedir que haya colusión entre los participantes, permitiendo el acceso al proceso licitatorio de todas las personas o sujetos de derecho interesados en contratar con el Estado, mediante la adecuada publicidad de los actos previos o del llamado a licitar y unas reglas claras precisas y objetivas que determinan su participación. Así pues, bajo estos principios, deben primar todas las actuaciones de la administración, las cuales deben estar encaminadas al cumplimiento de los fines y cometidos estatales buscando siempre el interés general y el bien común. Bajo este contexto, y con el fin de garantizar el deber de selección objetiva6 e igualdad para la escogencia del contratista, los cuales se encuentran contenidos en el Estatuto de Contratación de la Administración Pública, El Fondo de Desarrollo Local  únicamente para efectos de evaluar las propuestas no tendrá en cuenta los ítems Estabilidad De La Obra - Mantenimiento Periódico Y Rutinario” y “Estabilidad De La Obra - Rehabilitación - Reconstrucción, lo anterior sin que ello signifique que, el adjudicatario no deba dar cumplimiento a tal exigencia durante la ejecución del contrato. Por consiguiente, y al no tener en cuenta los valores contenidos en las casillas de “Estabilidad De La Obra - Mantenimiento Periódico Y Rutinario” y “Estabilidad De La Obra - Rehabilitación - Reconstrucción”, se procedió para efectos de una EVALUACIÓN OBJETIVA, a calcular un nuevo valor de AIU y así obtener unos valores de ofertas económicas comparables, y de esta forma proceder a realizar la asignación del respectivo puntaje, de acuerdo con la media aritmética con valor oficial, tal y como lo dispone el Pliego de Condiciones. </w:t>
            </w:r>
          </w:p>
        </w:tc>
      </w:tr>
      <w:tr w:rsidR="003E0D55" w:rsidRPr="00B908AA" w:rsidTr="00BD629A">
        <w:trPr>
          <w:trHeight w:val="240"/>
        </w:trPr>
        <w:tc>
          <w:tcPr>
            <w:tcW w:w="2972" w:type="dxa"/>
          </w:tcPr>
          <w:p w:rsidR="003E0D55" w:rsidRPr="00B908AA" w:rsidRDefault="003E0D55" w:rsidP="003E0D55">
            <w:pPr>
              <w:autoSpaceDE w:val="0"/>
              <w:autoSpaceDN w:val="0"/>
              <w:adjustRightInd w:val="0"/>
              <w:rPr>
                <w:rFonts w:ascii="Arial Narrow" w:hAnsi="Arial Narrow" w:cs="Garamond-Bold"/>
                <w:b/>
                <w:bCs/>
                <w:sz w:val="24"/>
                <w:szCs w:val="24"/>
              </w:rPr>
            </w:pPr>
            <w:r w:rsidRPr="0030605A">
              <w:rPr>
                <w:rFonts w:ascii="Arial Narrow" w:hAnsi="Arial Narrow" w:cs="Garamond-Bold"/>
                <w:b/>
                <w:bCs/>
                <w:sz w:val="24"/>
                <w:szCs w:val="24"/>
              </w:rPr>
              <w:lastRenderedPageBreak/>
              <w:t>Fecha: SIN</w:t>
            </w:r>
          </w:p>
          <w:p w:rsidR="003E0D55" w:rsidRPr="00B908AA" w:rsidRDefault="003E0D55" w:rsidP="003E0D55">
            <w:pPr>
              <w:autoSpaceDE w:val="0"/>
              <w:autoSpaceDN w:val="0"/>
              <w:adjustRightInd w:val="0"/>
              <w:rPr>
                <w:rFonts w:ascii="Arial Narrow" w:hAnsi="Arial Narrow" w:cs="Garamond-Bold"/>
                <w:b/>
                <w:bCs/>
                <w:sz w:val="24"/>
                <w:szCs w:val="24"/>
              </w:rPr>
            </w:pPr>
          </w:p>
        </w:tc>
        <w:tc>
          <w:tcPr>
            <w:tcW w:w="5856" w:type="dxa"/>
          </w:tcPr>
          <w:p w:rsidR="003E0D55" w:rsidRPr="00B908AA" w:rsidRDefault="003E0D55" w:rsidP="003E0D55">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Dra. Carmen Yolanda Villabona. Directora de Contratación Secretaría Distrital de Gobierno.</w:t>
            </w:r>
          </w:p>
        </w:tc>
      </w:tr>
      <w:tr w:rsidR="003E0D55" w:rsidRPr="00B908AA" w:rsidTr="00BD629A">
        <w:trPr>
          <w:trHeight w:val="240"/>
        </w:trPr>
        <w:tc>
          <w:tcPr>
            <w:tcW w:w="2972" w:type="dxa"/>
          </w:tcPr>
          <w:p w:rsidR="003E0D55" w:rsidRPr="00B908AA" w:rsidRDefault="003E0D55" w:rsidP="003E0D55">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TEMA: </w:t>
            </w:r>
            <w:r>
              <w:rPr>
                <w:rFonts w:ascii="Arial Narrow" w:hAnsi="Arial Narrow" w:cs="Garamond-Bold"/>
                <w:b/>
                <w:bCs/>
                <w:sz w:val="24"/>
                <w:szCs w:val="24"/>
              </w:rPr>
              <w:t xml:space="preserve"> RECONOCIMIENTO DE MAYORES CANTIDADES DE OBRA</w:t>
            </w:r>
          </w:p>
        </w:tc>
        <w:tc>
          <w:tcPr>
            <w:tcW w:w="5856" w:type="dxa"/>
          </w:tcPr>
          <w:p w:rsidR="003E0D55" w:rsidRPr="00B908AA" w:rsidRDefault="003E0D55" w:rsidP="003E0D55">
            <w:pPr>
              <w:autoSpaceDE w:val="0"/>
              <w:autoSpaceDN w:val="0"/>
              <w:adjustRightInd w:val="0"/>
              <w:jc w:val="center"/>
              <w:rPr>
                <w:rFonts w:ascii="Arial Narrow" w:hAnsi="Arial Narrow" w:cs="Garamond-Bold"/>
                <w:b/>
                <w:bCs/>
                <w:sz w:val="24"/>
                <w:szCs w:val="24"/>
              </w:rPr>
            </w:pPr>
          </w:p>
          <w:p w:rsidR="003E0D55" w:rsidRPr="00B908AA" w:rsidRDefault="003E0D55" w:rsidP="003E0D55">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3E0D55" w:rsidRPr="00B908AA" w:rsidTr="00BD629A">
        <w:trPr>
          <w:trHeight w:val="240"/>
        </w:trPr>
        <w:tc>
          <w:tcPr>
            <w:tcW w:w="2972" w:type="dxa"/>
          </w:tcPr>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 </w:t>
            </w:r>
          </w:p>
        </w:tc>
        <w:tc>
          <w:tcPr>
            <w:tcW w:w="5856" w:type="dxa"/>
          </w:tcPr>
          <w:p w:rsidR="003E0D55" w:rsidRPr="00B908AA" w:rsidRDefault="003E0D55" w:rsidP="003E0D55">
            <w:pPr>
              <w:pStyle w:val="NormalWeb"/>
              <w:jc w:val="both"/>
              <w:rPr>
                <w:rFonts w:ascii="Arial Narrow" w:hAnsi="Arial Narrow" w:cs="Garamond-Bold"/>
                <w:bCs/>
              </w:rPr>
            </w:pPr>
            <w:r>
              <w:lastRenderedPageBreak/>
              <w:t xml:space="preserve">(…) </w:t>
            </w:r>
            <w:r w:rsidRPr="00A02051">
              <w:t xml:space="preserve">en Sentencia del 29 de febrero de 2012, proferida por la Subsección B de la Sección Tercera de la Sala de lo Contencioso Administrativo del Consejo de Estado definió algunos criterios para la procedencia del reconocimiento y pago de las mayores cantidades de obra en los siguientes términos: “(…) 60. Para que sea procedente la condena de la entidad al pago de las obras ejecutadas por fuera de lo </w:t>
            </w:r>
            <w:r w:rsidRPr="00A02051">
              <w:lastRenderedPageBreak/>
              <w:t xml:space="preserve">expresamente pactado en el contrato, tal y como sucede con las </w:t>
            </w:r>
            <w:r w:rsidR="00FB78B1" w:rsidRPr="00A02051">
              <w:t>mayores</w:t>
            </w:r>
            <w:r w:rsidRPr="00A02051">
              <w:t xml:space="preserve"> cantidades de obra –entendidas éstas como la ejecución de mayores cantidades de unos ítems que sí han sido contemplados en el contrato- o con las obras </w:t>
            </w:r>
            <w:r w:rsidR="00FB78B1" w:rsidRPr="00A02051">
              <w:t>adicionales</w:t>
            </w:r>
            <w:r w:rsidRPr="00A02051">
              <w:t xml:space="preserve"> –es decir aquellas carentes de consagración en el contrato y para las cuales resulta necesario establecer los nuevos precios unitarios- se requiere que su </w:t>
            </w:r>
            <w:r w:rsidR="00FB78B1" w:rsidRPr="00A02051">
              <w:t>construcción</w:t>
            </w:r>
            <w:r w:rsidRPr="00A02051">
              <w:t xml:space="preserve"> no haya obedecido a la simple iniciativa autónoma del contratista, pues él está obligado por los términos del negocio jurídico celebrado con la administración y sólo debe realizar las obras en la cantidad y clase allí estipulados, salvo que de común acuerdo y en forma expresa, las partes hayan dispuesto la realización de </w:t>
            </w:r>
            <w:r w:rsidR="00932643" w:rsidRPr="00A02051">
              <w:t>mayores</w:t>
            </w:r>
            <w:r w:rsidRPr="00A02051">
              <w:t xml:space="preserve"> cantidades de obra u obras adicionales o que la entidad, en ejercicio de su facultad de modificación unilateral, así lo hubiere decidido a través del respectivo acto administrativo. De lo contrario, la clase y cantidad de </w:t>
            </w:r>
            <w:r w:rsidR="00932643" w:rsidRPr="00A02051">
              <w:t>obras</w:t>
            </w:r>
            <w:r w:rsidRPr="00A02051">
              <w:t xml:space="preserve"> serán las </w:t>
            </w:r>
            <w:r w:rsidR="00932643" w:rsidRPr="00A02051">
              <w:t>contempladas</w:t>
            </w:r>
            <w:r w:rsidRPr="00A02051">
              <w:t xml:space="preserve"> en el contrato y a ellas se debe atener el contratista.  61. Lo anterior, por cuanto “(…) ha sido criterio jurisprudencial consistente de la Corporación que para el reconocimiento de mayores cantidades de obra u obras </w:t>
            </w:r>
            <w:r w:rsidR="00932643" w:rsidRPr="00A02051">
              <w:t>adicionales</w:t>
            </w:r>
            <w:r w:rsidRPr="00A02051">
              <w:t xml:space="preserve"> o complementarias, las mismas deben haber sido previamente autorizadas y recibidas a satisfacción por la entidad contratante1, aquiescencia que debe demostrarse en los términos antes expuestos cuando ellas se reclaman”2.  62. En el presente caso, se observa que en la primera acta de recibo final de la obra, suscrita en agosto de 1994 –reiterada en marzo de 1995- y que el contratista firmó sin observaciones, consta que de un valor total del contrato por $ 95 768 013,18 (luego del acta de compensación suscrita por las partes) se ejecutaron obras en total por valor de $ 88 473 712,48 (correspondiente a la obra ya recibida en el acta parcial de obra </w:t>
            </w:r>
            <w:r w:rsidR="00932643" w:rsidRPr="00A02051">
              <w:t>No</w:t>
            </w:r>
            <w:r w:rsidRPr="00A02051">
              <w:t xml:space="preserve"> 1 por valor de $ 61 517 873,98, más la obra recibida en esta acta por valor de $ 26 611 652, 60, más el IVA descontado a esta acta por valor de $ 344 185,90) y que hubo un monto de $ 7 990 553,09, que no se ejecutó y por lo tanto quedó como saldo a favor de la entidad, suma que así mismo fue incluida en el acta de liquidación del contrato (fs. 716 y 673, cdno. 2-1). 63. Es claro entonces, según el contenido de la anterior acta final de obra, que la entidad no recibió a satisfacción mayores cantidades de obra u obras adicionales diferentes a las contenidas en el acta de compensación debidamente firmada por las partes y por ello, no las incluyó ni reconoció su existencia en el acta de liquidación final del contrato.</w:t>
            </w:r>
            <w:r>
              <w:t xml:space="preserve"> </w:t>
            </w:r>
            <w:r w:rsidRPr="00A02051">
              <w:t xml:space="preserve">64. Por otro lado, también consta (ver párrafo 12.8) que el contratista, al advertir que </w:t>
            </w:r>
            <w:r w:rsidRPr="00A02051">
              <w:lastRenderedPageBreak/>
              <w:t xml:space="preserve">quedaba un saldo del precio pactado en el contrato sin ejecutar, decidió realizar obras por ese valor equivalente, manifestando que se trataba de obras que se consideraron necesarias y que había acordado con el anterior coordinador del contrato, ingeniero Javier Parra –curiosamente, el único funcionario interventor del contrato que no declaró en el sub-lite- y con el director de la cárcel. 65. Olvidó el contratista que los mencionados funcionarios no eran, para efectos de acordar nuevas obras o mayores cantidades de obra, representantes de la entidad con capacidad para obligarla, puesto que de acuerdo con lo estipulado en el contrato, era necesaria la aprobación del director de la entidad, aparte de que tampoco obra, distinta de esta manifestación del contratista, prueba alguna de que efectivamente aquellos funcionarios le hubieran ordenado obras para “completar” el valor del con-trato 198 de 1992. 66. En tales condiciones, si bien en virtud del principio de la buena fe que debe informar a los contratos de la administración, cuando ésta es quien induce al contratista a ejecutar obras por fuera de los precisos términos del contrato sin haber perfeccionado formalmente tal modificación y recibe a satisfacción tales obras, por ser indispensables para la ejecución del objeto contractual3, ella está en el deber de responder frente al contratista por el valor de las mismas, cuando es por la decisión autónoma e independiente del contratista que éste ejecuta tales obras extracontractuales, no puede aspirar a comprometer la responsabilidad de la administración, por esos costos que de manera alguna ella aceptó asumir, directa o indirectamente.  Vistas las pautas jurisprudenciales sobre las cuales se ha estructurado la procedencia para el pago de las mayores cantidades de obra, esta Dirección de Contratación de la revisión de la justificación técnica expuesta por el Fondo de Desarrollo Local observa que, los eventos o circunstancias que dieron origen a la realización de estos ítems adicionales durante la ejecución del proyecto, no </w:t>
            </w:r>
            <w:r>
              <w:t>obedecieron al ejer</w:t>
            </w:r>
            <w:r w:rsidRPr="00A02051">
              <w:t xml:space="preserve">cicio caprichoso del contratista, sino que los mismos fueron convenidos con la Entidad contratante y el interventor, todo esto con el fin de cumplir con el objeto contratado, es por ello que, de la lectura de la justificación técnica, muchas de las obras adicionales correspondieron a desarrollos necesarios para la terminación de varios tramos, y en donde sin su ejecución no se hubieran podido concluir con éxito las intervenciones de los segmentos contratados. Por otra parte, y en lo relacionado con el documento idóneo para proceder a la expedición del Certificado de Disponibilidad </w:t>
            </w:r>
            <w:r w:rsidRPr="00A02051">
              <w:lastRenderedPageBreak/>
              <w:t xml:space="preserve">Presupuestal, y el correspondiente Registro Presupuestal, se considera pertinente realizar las siguientes consideraciones: Durante la ejecución de los contratos de obra, la Entidad Contratante, El Contratista y el Interventor del Contrato suscriben actas de obra tanto de ejecución, como de recibo final, y en donde se determinan no solo los hechos más relevantes que se presentaron durante el proyecto, sino también el estado financiero del mismo. Ahora bien, es de resaltar que, en el acta de recibo final se pueden reconocer las mayores cantidades de obra realizadas durante la ejecución del contrato. Estas actas de recibo final deben estar suscritas tanto por el Contratista, Interventor y la Entidad, y los valores en ellas consignados tienen que estar plenamente sustentados con las bitácoras de obra y las memorias correspondientes. Por consiguiente, una vez la Entidad, el Contratista y el Interventor hayan suscrito el acta de recibo final, se debe solicitar el Certificado de Disponibilidad Presupuestal con el fin de proceder a la elaboración del acta de liquidación del contrato.  Dicha acta de liquidación del contrato entre otros </w:t>
            </w:r>
            <w:r w:rsidR="00932643" w:rsidRPr="00A02051">
              <w:t>aspectos</w:t>
            </w:r>
            <w:r w:rsidRPr="00A02051">
              <w:t xml:space="preserve"> debe contener la información del certificado de disponibilidad presupuestal que ampara las mayores cantidades de obra, por lo que, una vez suscrita el acta, se procede a la expedición del registro presupuestal, y de esta forma adelantar el pago de las obligaciones allí consignadas entre ellas las de mayores cantidades de obra.</w:t>
            </w:r>
            <w:r>
              <w:t xml:space="preserve"> </w:t>
            </w:r>
            <w:r w:rsidRPr="00A02051">
              <w:t>No está de más en señalar que, la etapa de liquidación del contrato ha sido definida, doctrinaria y jurisprudencialmente, como un corte de cuentas, es decir, la etapa final del negocio jurídico donde las partes hacen un balance económico, jurídico y técnico de lo ejecutado, y en virtud de ello el contratante y el contratista definen el estado en que queda el contrato después de su ejecución, o terminación por cualquier otra causa, o mejor, determinan la situación en que las partes están dispuestas a recibir y asumir el resultado de su ejecución.  Esta liquidación es el escenario normal y usual, en donde las partes valoran el resultado del contrato, teniendo como epicentro del análisis el cumplimiento o incumplimiento de los derechos y las obligaciones que surgieron del negocio jurídico, pero también en ocasiones la ocurrencia de hechos o circunstancias ajenos a las partes, que afectan la ejecución normal del mismo, para determinar el estado en que quedan frente a éste. Liquidar supone un ajuste expreso y claro sobre</w:t>
            </w:r>
            <w:r>
              <w:t xml:space="preserve"> </w:t>
            </w:r>
            <w:r w:rsidRPr="00A02051">
              <w:t xml:space="preserve">las cuentas y el estado de cumplimiento de un contrato, de tal manera que conste el balance tanto técnico como económico de las obligaciones que estuvieron a cargo de las partes. En cuanto a lo primero, </w:t>
            </w:r>
            <w:r w:rsidRPr="00A02051">
              <w:lastRenderedPageBreak/>
              <w:t>la liquidación debe incluir un análisis detallado de las condiciones de calidad y oportunidad en la entrega de los bienes, obras o servicios, y el balance económico dará cuenta del comportamiento financiero del negocio: recursos recibidos, pagos efectuados, estado del crédito o de la deuda de cada parte, entre otros detalles mínimos y necesarios para finiquitar una relación jurídica contractual.</w:t>
            </w:r>
          </w:p>
        </w:tc>
      </w:tr>
      <w:tr w:rsidR="003E0D55" w:rsidRPr="00B908AA" w:rsidTr="00BD629A">
        <w:trPr>
          <w:trHeight w:val="240"/>
        </w:trPr>
        <w:tc>
          <w:tcPr>
            <w:tcW w:w="2972" w:type="dxa"/>
          </w:tcPr>
          <w:p w:rsidR="003E0D55" w:rsidRPr="00B908AA" w:rsidRDefault="003E0D55" w:rsidP="003E0D55">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lastRenderedPageBreak/>
              <w:t>Fecha: 3-11-2017</w:t>
            </w:r>
          </w:p>
          <w:p w:rsidR="003E0D55" w:rsidRPr="00B908AA" w:rsidRDefault="003E0D55" w:rsidP="003E0D55">
            <w:pPr>
              <w:autoSpaceDE w:val="0"/>
              <w:autoSpaceDN w:val="0"/>
              <w:adjustRightInd w:val="0"/>
              <w:rPr>
                <w:rFonts w:ascii="Arial Narrow" w:hAnsi="Arial Narrow" w:cs="Garamond-Bold"/>
                <w:b/>
                <w:bCs/>
                <w:sz w:val="24"/>
                <w:szCs w:val="24"/>
              </w:rPr>
            </w:pPr>
          </w:p>
        </w:tc>
        <w:tc>
          <w:tcPr>
            <w:tcW w:w="5856" w:type="dxa"/>
          </w:tcPr>
          <w:p w:rsidR="003E0D55" w:rsidRPr="00B908AA" w:rsidRDefault="003E0D55" w:rsidP="003E0D55">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Dra. Yolanda Villabona. Directora de Contratación Secretaría Distrital de Gobierno.</w:t>
            </w:r>
          </w:p>
        </w:tc>
      </w:tr>
      <w:tr w:rsidR="003E0D55" w:rsidRPr="00B908AA" w:rsidTr="00BD629A">
        <w:trPr>
          <w:trHeight w:val="240"/>
        </w:trPr>
        <w:tc>
          <w:tcPr>
            <w:tcW w:w="2972" w:type="dxa"/>
          </w:tcPr>
          <w:p w:rsidR="003E0D55" w:rsidRDefault="003E0D55" w:rsidP="003E0D55">
            <w:pPr>
              <w:autoSpaceDE w:val="0"/>
              <w:autoSpaceDN w:val="0"/>
              <w:adjustRightInd w:val="0"/>
              <w:rPr>
                <w:rFonts w:ascii="Arial Narrow" w:hAnsi="Arial Narrow" w:cs="Garamond-Bold"/>
                <w:b/>
                <w:bCs/>
                <w:sz w:val="24"/>
                <w:szCs w:val="24"/>
              </w:rPr>
            </w:pPr>
            <w:r>
              <w:rPr>
                <w:rFonts w:ascii="Arial Narrow" w:hAnsi="Arial Narrow" w:cs="Garamond-Bold"/>
                <w:b/>
                <w:bCs/>
                <w:sz w:val="24"/>
                <w:szCs w:val="24"/>
              </w:rPr>
              <w:t>TEMA: SEGURO DE RESPONSABILIDAD CIVIL SERVIDORES PÚBLICOS</w:t>
            </w:r>
          </w:p>
          <w:p w:rsidR="003E0D55" w:rsidRPr="004B6538" w:rsidRDefault="003E0D55" w:rsidP="003E0D55">
            <w:pPr>
              <w:autoSpaceDE w:val="0"/>
              <w:autoSpaceDN w:val="0"/>
              <w:adjustRightInd w:val="0"/>
              <w:rPr>
                <w:rFonts w:ascii="Arial Narrow" w:hAnsi="Arial Narrow" w:cs="Garamond-Bold"/>
                <w:b/>
                <w:bCs/>
                <w:sz w:val="24"/>
                <w:szCs w:val="24"/>
              </w:rPr>
            </w:pPr>
          </w:p>
        </w:tc>
        <w:tc>
          <w:tcPr>
            <w:tcW w:w="5856" w:type="dxa"/>
          </w:tcPr>
          <w:p w:rsidR="003E0D55" w:rsidRDefault="003E0D55" w:rsidP="003E0D55">
            <w:pPr>
              <w:autoSpaceDE w:val="0"/>
              <w:autoSpaceDN w:val="0"/>
              <w:adjustRightInd w:val="0"/>
              <w:jc w:val="center"/>
              <w:rPr>
                <w:rFonts w:ascii="Arial Narrow" w:hAnsi="Arial Narrow" w:cs="Garamond-Bold"/>
                <w:b/>
                <w:bCs/>
                <w:sz w:val="24"/>
                <w:szCs w:val="24"/>
              </w:rPr>
            </w:pPr>
          </w:p>
          <w:p w:rsidR="003E0D55" w:rsidRPr="00B908AA" w:rsidRDefault="003E0D55" w:rsidP="003E0D55">
            <w:pPr>
              <w:autoSpaceDE w:val="0"/>
              <w:autoSpaceDN w:val="0"/>
              <w:adjustRightInd w:val="0"/>
              <w:jc w:val="center"/>
              <w:rPr>
                <w:rFonts w:ascii="Arial Narrow" w:hAnsi="Arial Narrow" w:cs="Garamond-Bold"/>
                <w:b/>
                <w:bCs/>
                <w:sz w:val="24"/>
                <w:szCs w:val="24"/>
              </w:rPr>
            </w:pPr>
            <w:r>
              <w:rPr>
                <w:rFonts w:ascii="Arial Narrow" w:hAnsi="Arial Narrow" w:cs="Garamond-Bold"/>
                <w:b/>
                <w:bCs/>
                <w:sz w:val="24"/>
                <w:szCs w:val="24"/>
              </w:rPr>
              <w:t>TESIS</w:t>
            </w:r>
          </w:p>
        </w:tc>
      </w:tr>
      <w:tr w:rsidR="003E0D55" w:rsidRPr="00B908AA" w:rsidTr="00BD629A">
        <w:trPr>
          <w:trHeight w:val="240"/>
        </w:trPr>
        <w:tc>
          <w:tcPr>
            <w:tcW w:w="2972" w:type="dxa"/>
          </w:tcPr>
          <w:p w:rsidR="003E0D55" w:rsidRDefault="003E0D55" w:rsidP="003E0D55">
            <w:pPr>
              <w:autoSpaceDE w:val="0"/>
              <w:autoSpaceDN w:val="0"/>
              <w:adjustRightInd w:val="0"/>
              <w:rPr>
                <w:rFonts w:ascii="Arial Narrow" w:hAnsi="Arial Narrow" w:cs="Garamond-Bold"/>
                <w:b/>
                <w:bCs/>
                <w:sz w:val="24"/>
                <w:szCs w:val="24"/>
              </w:rPr>
            </w:pPr>
          </w:p>
          <w:p w:rsidR="003E0D55" w:rsidRDefault="003E0D55" w:rsidP="003E0D55">
            <w:pPr>
              <w:autoSpaceDE w:val="0"/>
              <w:autoSpaceDN w:val="0"/>
              <w:adjustRightInd w:val="0"/>
              <w:rPr>
                <w:rFonts w:ascii="Arial Narrow" w:hAnsi="Arial Narrow" w:cs="Garamond-Bold"/>
                <w:b/>
                <w:bCs/>
                <w:sz w:val="24"/>
                <w:szCs w:val="24"/>
              </w:rPr>
            </w:pPr>
          </w:p>
          <w:p w:rsidR="003E0D55" w:rsidRDefault="003E0D55" w:rsidP="003E0D55">
            <w:pPr>
              <w:autoSpaceDE w:val="0"/>
              <w:autoSpaceDN w:val="0"/>
              <w:adjustRightInd w:val="0"/>
              <w:rPr>
                <w:rFonts w:ascii="Arial Narrow" w:hAnsi="Arial Narrow" w:cs="Garamond-Bold"/>
                <w:b/>
                <w:bCs/>
                <w:sz w:val="24"/>
                <w:szCs w:val="24"/>
              </w:rPr>
            </w:pPr>
          </w:p>
          <w:p w:rsidR="003E0D55" w:rsidRDefault="003E0D55" w:rsidP="003E0D55">
            <w:pPr>
              <w:autoSpaceDE w:val="0"/>
              <w:autoSpaceDN w:val="0"/>
              <w:adjustRightInd w:val="0"/>
              <w:rPr>
                <w:rFonts w:ascii="Arial Narrow" w:hAnsi="Arial Narrow" w:cs="Garamond-Bold"/>
                <w:b/>
                <w:bCs/>
                <w:sz w:val="24"/>
                <w:szCs w:val="24"/>
              </w:rPr>
            </w:pPr>
          </w:p>
          <w:p w:rsidR="003E0D55" w:rsidRPr="004B6538" w:rsidRDefault="003E0D55" w:rsidP="003E0D55">
            <w:pPr>
              <w:autoSpaceDE w:val="0"/>
              <w:autoSpaceDN w:val="0"/>
              <w:adjustRightInd w:val="0"/>
              <w:rPr>
                <w:rFonts w:ascii="Arial Narrow" w:hAnsi="Arial Narrow" w:cs="Garamond-Bold"/>
                <w:b/>
                <w:bCs/>
                <w:sz w:val="24"/>
                <w:szCs w:val="24"/>
              </w:rPr>
            </w:pPr>
          </w:p>
        </w:tc>
        <w:tc>
          <w:tcPr>
            <w:tcW w:w="5856" w:type="dxa"/>
          </w:tcPr>
          <w:p w:rsidR="003E0D55" w:rsidRPr="00B908AA" w:rsidRDefault="003E0D55" w:rsidP="003E0D55">
            <w:pPr>
              <w:pStyle w:val="NormalWeb"/>
              <w:jc w:val="both"/>
              <w:rPr>
                <w:rFonts w:ascii="Arial Narrow" w:hAnsi="Arial Narrow" w:cs="Garamond-Bold"/>
                <w:b/>
                <w:bCs/>
              </w:rPr>
            </w:pPr>
            <w:r w:rsidRPr="007C0DAA">
              <w:t>Del Seguro de Responsabilidad Civil Servidores Públicos</w:t>
            </w:r>
            <w:r>
              <w:t xml:space="preserve">. </w:t>
            </w:r>
            <w:r w:rsidRPr="007C0DAA">
              <w:t xml:space="preserve">Por disposición constitucional, el Estado debe responder por los daños antijurídicos que le sean imputables causados por la acción o la omisión de las autoridades públicas1. El régimen de responsabilidad forma parte esencial del Estado Social de Derecho, como instrumento coercible destinado a mantener el imperio de la ética administrativa y a garantizar la efectividad de los derechos y obligaciones de los administrados y de las entidades públicas, las cuales responden por infringir la Constitución y las Leyes y por omisión o extralimitación de sus funciones.2 El citado precepto está consagrado en el artículo 6 de la Constitución Política y de él se derivan diferentes clases de responsabilidad, a saber: 1. Responsabilidad penal: En cuanto a la responsabilidad penal está claramente dispuesto por el legislador que la culpabilidad del agente puede ser a título de dolo, culpa o preterintención. En el primer escenario, nos enfrentamos a un hecho u omisión respecto del cual el servidor público (para el caso que nos ocupa) conoce de su acción dañina y quiere su realización o la prevé como posible, según definición legal de la culpabilidad a título de dolo3. Por el contrario, en el caso de culpabilidad a título de culpa, se hace referencia a “infracción al deber objetivo de cuidado y el agente debió haberlo previsto por ser previsible o habiéndolo previsto (el agente) confió en poder evitarlo”.4 El peculado culposo es un delito que tiene las siguientes características: El sujeto activo es calificado; es decir, no cualquiera incurre en este delito. Es condición imprescindible, para que haya peculado culposo, que se trate de un servidor público; si la misma conducta la comete un particular; es decir, si el administrador de una sociedad de derecho privado, por culpa da lugar a que se extravíen, pierdan o deterioren </w:t>
            </w:r>
            <w:r w:rsidRPr="007C0DAA">
              <w:lastRenderedPageBreak/>
              <w:t>bienes a la entidad para la cual presta sus servicios, no necesariamente ello implica infracción a la ley penal.  También se presentan modalidades culposas de tipos penales en las que la pena aplicable es superior cuando la conducta la comete un servidor público. Tal es el caso del delito contenido en el artículo 190 del Código Penal, el cual admite modalidad culposa y tiene prevista la circunstancia agravante cuando el delito sea cometido por un servidor público.  Nos encontramos, entonces, frente a un régimen más severo, más exigente y con mayor grado de responsabilidad. 2. Responsabilidad disciplinaria: A este respecto existen diversos pronunciamientos doctrinales y jurisprudenciales (Sentencia C – 95/98 de la Corte Constitucional) sobre la naturaleza de este tipo de control, ejercido por el Ministerio Público, en cabeza de la Procuraduría General de la Nación y del Defensor del Pueblo. La administración goza de poder disciplinario para someter a sus servidores a obtener de ellos la obediencia disciplinaria, la moralidad y eficiencia necesarias, así como los demás requerimientos que impone la respectiva investidura pública.5 La citada providencia señala, además, que el derecho</w:t>
            </w:r>
            <w:r>
              <w:t xml:space="preserve"> </w:t>
            </w:r>
            <w:r w:rsidRPr="007C0DAA">
              <w:t xml:space="preserve">administrativo disciplinario está conformado por “un conjunto de normas y principios jurídicos que permiten imponer sanciones a los servidores públicos cuando estos violan sus deberes, obligaciones o incurren en vulneración de las prohibiciones e incompatibilidades que para ellos ha establecido la ley”. Se trata de una función de control de acciones u omisiones que por esencia difiere del campo penal. La sentencia citada señala a este respecto: “Las faltas disciplinarias son definidas anticipadamente y por vía general en la legislación y corresponden a descripciones abstractas de comportamientos que, sean o no delitos, enturbian, entorpecen o desvirtúan la buena marcha de la función pública en cualquiera de sus formas”. Finalmente, en cuanto a la conducta de los servidores públicos señala la citada jurisprudencia: “...por lo que atañe al campo disciplinario aplicable al servidor público –como también ocurre en el terreno penal– se es responsable tanto por actuar de una determinada manera no querida por el legislador (conducta positiva) como por dejar de hacer algo que debería hacerse según los mandatos de la ley (conducta negativa u omisión) siempre y cuando se establezca la culpabilidad del sujeto”.  Las providencias emanadas del Ministerio Público son sanciones disciplinarias como consecuencia de la conducta (activa o pasiva) del funcionario. Cuando en dicha conducta el órgano de control </w:t>
            </w:r>
            <w:r w:rsidRPr="007C0DAA">
              <w:lastRenderedPageBreak/>
              <w:t>encuentre que la conducta del servidor público se adecua a un tipo penal da traslado del proceso a la autoridad penal competente.  Respecto de la imposición de sanciones disciplinarias, la ley es clara al establecer los más obvios principios del debido proceso, y fundamentalmente, la imposibilidad para sancionar a un funcionario sin haber demostrado previamente que la conducta ha sido cometida a título de dolo o de culpa.6 Lo anterior guarda clara relación con la consagración constitucional de la proscripción de cualquier tipo de responsabilidad objetiva. 3. Responsabilidad fiscal o patrimonial</w:t>
            </w:r>
            <w:r>
              <w:t>.</w:t>
            </w:r>
            <w:r w:rsidRPr="007C0DAA">
              <w:t xml:space="preserve"> “La responsabilidad fiscal se deduce del ejercicio del control fiscal, entendido éste como una gestión pública mediante la cual se vigila la labor fiscal de la administración y de los particulares o entidades que manejan fondos o bienes del estado”</w:t>
            </w:r>
            <w:r w:rsidR="00932643" w:rsidRPr="007C0DAA">
              <w:t>7 La</w:t>
            </w:r>
            <w:r w:rsidRPr="007C0DAA">
              <w:t xml:space="preserve"> Constitución concede facultades de control fiscal o de gestión a la Contraloría General de la República. En la práctica, la forma de ejercer este control es mediante un proceso de responsabilidad </w:t>
            </w:r>
            <w:r>
              <w:t>f</w:t>
            </w:r>
            <w:r w:rsidRPr="007C0DAA">
              <w:t xml:space="preserve">iscal8 que tiene dos etapas: de investigación y de juicio. El proceso tiene por fin determinar si la actuación u omisión del servidor público generó un detrimento patrimonial a la entidad para la cual presta sus servicios.  La investigación se inicia de oficio o a petición de parte y culmina con la apertura de un juicio fiscal. El juicio tiene lugar cuando la Contraloría considera que con la actuación del funcionario efectivamente se causó un detrimento patrimonial a la entidad para la cual sirve. En este caso, si la investigación conduce a un juicio y este culmina mediante providencia que condena al funcionario, entonces dicha condena, en su parte resolutiva, debe expresar el monto del detrimento patrimonial causado. Ese monto constituye el alcance de la responsabilidad para el funcionario. FUNDAMENTO LEGAL DE LA CONTRATACIÓN POR PARTE DE LA ENTIDAD, DEL SEGURO DE RESPONSABILIDAD CIVIL SERVIDORES PÚBLICOS. De conformidad con lo señalado en la Ley 1687 de 2013, y en el artículo 48 del Decreto 609 de 2012, el cual autoriza a las Entidades Estatales a la contratación del seguro de responsabilidad civil de servidores públicos, la SECRETARÍA DISTRITAL DE GOBIERNO tiene contemplado dentro de su plan de seguros la adquisición de la mencionada póliza, veamos: " ....... También podrán contratar un Seguro de Responsabilidad Civil para Servidores Públicos, mediante el cual se ampare la responsabilidad de los mismos por actos o hechos no dolosos ocurridos en ejercicio de sus funciones, y los gastos de defensa en materia disciplinaria, </w:t>
            </w:r>
            <w:r w:rsidRPr="007C0DAA">
              <w:lastRenderedPageBreak/>
              <w:t>penal y fiscal que deban realizar; estos últimos gastos los podrán pagar las entidades, siempre y cuando exista decisión definitiva que exonere de toda responsabilidad y no sea condenada la contraparte a las costas del proceso." De otra parte, la Ley 42 de 1993, impone la obligación al servidor público, de mantener asegurados los bienes, fondos o valores de la entidad, so pena de incurrir en responsabilidad; con fundamento en la obligación legal de las entidades estatales de velar por la conservación y la integridad del patrimonio del Estado: “Artículo 101. Los contralores impondrán multas a los servidores públicos y particulares que manejen fondos o bienes del Estado, hasta por el valor de cinco (5) salarios devengados por el sancionado a quienes no comparezcan a las citaciones que en forma escrita les hagan las contralorías; no rindan las cuentas e informes exigidos o no lo hagan en la forma y oportunidad establecidos por ellas; incurrirán reiteradamente en errores u omitan la presentación de cuentas e informes; se les determinen glosas de forma en la revisión de sus cuentas; de cualquier manera entorpezcan o impidan el cabal cumplimiento de las funciones asignadas a las contralorías o no les suministren oportunamente las informaciones solicitadas; teniendo bajo su responsabilidad asegurar fondos, valores o bienes no lo hicieren oportunamente o en la cuantía requerida; no adelanten las acciones tendientes a subsanar las deficiencias señaladas por las contralorías; no cumplan con las obligaciones fiscales y cuando a criterio de los contralores exista mérito suficiente para ello.” “Artículo 107. Los órganos de control fiscal verificarán que los bienes del Estado estén debidamente amparados por una póliza de seguros o un fondo especial creado para tal fin, pudiendo establecer responsabilidad fiscal a los tomadores cuando las circunstancias lo ameriten “</w:t>
            </w:r>
            <w:r>
              <w:t xml:space="preserve">. </w:t>
            </w:r>
            <w:r w:rsidRPr="007C0DAA">
              <w:t xml:space="preserve">La finalidad de las pólizas de Servidores públicos es principalmente la protección del patrimonio del estado, entendido este como los activos y pasivos, que representen un valor pecuniario en cabeza de la Entidad, es decir sus bienes e intereses. En este orden de ideas, se considera legalmente acertado y necesario, adquirir la póliza de responsabilidad civil de servidores públicos, toda vez que, cuando el servidor público incurre en determinada responsabilidad fiscal por las acción u omisión en sus funciones, las cuales derivan en un eventual detrimento del patrimonio del Estado, el mencionado seguro entra, a resarcir los perjuicios ocasionados a la entidad beneficiaria por dicha acción u omisión de su agente. Al respecto, en sentencia C-735 de 2003 de la Corte </w:t>
            </w:r>
            <w:r w:rsidRPr="007C0DAA">
              <w:lastRenderedPageBreak/>
              <w:t>Constitucional, precisó, entre otros asuntos lo siguiente: “Las entidades estatales deben velar porque sus bienes en general estén protegidos contra hechos futuros e inciertos que puedan causarle perjuicio o detrimento al funcionario público. En este sentido, los órganos de control fiscal deben verificar que los bienes públicos, se encuentren asegurados adecuadamente, es decir, que estos tengan la cobertura suficiente, con el fin de que el erario público esté cubierto contra cualquier desmedro, que el hecho de un tercero o uno de sus funcionarios pueda ocasionarle, de manera tal que sea resarcido de los daños ocasionados por la ocurrencia del siniestro o riesgo asegurado”</w:t>
            </w:r>
            <w:r>
              <w:t xml:space="preserve">. </w:t>
            </w:r>
            <w:r w:rsidRPr="007C0DAA">
              <w:t>Ahora bien, definida la pertinencia y necesidad de la adquisición de la mencionada póliza, frente a la cobertura del seguro, consideramos pertinente realizar las siguientes consideraciones:  El Estado siempre ha buscado que las decisiones que tomen sus servidores se enmarquen dentro de las distintas normas y regulaciones especiales, todo ello dentro del principio general de la función</w:t>
            </w:r>
            <w:r>
              <w:t xml:space="preserve"> p</w:t>
            </w:r>
            <w:r w:rsidRPr="007C0DAA">
              <w:t xml:space="preserve">ública de que los servidores públicos solo pueden realizar a cabo lo que les está expresamente facultado en la Ley. Es por esto que, se han estructurado desde el punto de vista Constitucional y Legal mecanismos de control, no solo político, sino fiscal, disciplinario, penal, entre otros, para revisar, y en algunos casos, evaluar las actuaciones y las decisiones que toman los servidores públicos en cumplimiento de las funciones que les han sido encomendadas, buscando siempre que los fines del Estado se cumplan de manera inequívoca. En cumplimiento de tales funciones, los servidores públicos pueden, como consecuencia de un error, afectar a la entidad para la cual trabajan, a un tercero y/o al mismo Estado, siendo necesario que, tales errores resarzan los perjuicios que se generen a los administrados, por lo que en aquellos casos en donde los perjuicios ocasionados superen el valor del mismo patrimonio del servidor público, entraría la póliza a cubrirlos. Por lo que, frente al caso en concreto, esta Dirección de Contratación considera que, no existe restricción legal alguna para amparar a los profesionales universitarios y especializados del DADEP, más allá de los altos costos presupuestales que estas inclusiones implicarían. No obstante, consideramos previa a su inclusión en la póliza, se revise por parte del DADEP, que tales servidores, en cumplimiento de sus funciones adopten decisiones que, puedan eventualmente afectar patrimonialmente a la Entidad, como es el caso de los Ordenadores del Gasto. Finalmente, no está de más recordar el cuidado y la diligencia que deben observar </w:t>
            </w:r>
            <w:r w:rsidRPr="007C0DAA">
              <w:lastRenderedPageBreak/>
              <w:t xml:space="preserve">todos los servidores en el cumplimiento de sus funciones, independientemente de su inclusión o no en la póliza de Responsabilidad Civil de Servidores Públicos, y de esta forma evitar los perjuicios ocasionados a la Entidades como consecuencia de sentencias judiciales a causa de los hechos, acciones u omisiones de sus agentes. </w:t>
            </w:r>
          </w:p>
        </w:tc>
      </w:tr>
      <w:tr w:rsidR="003E0D55" w:rsidRPr="00B908AA" w:rsidTr="00BD629A">
        <w:trPr>
          <w:trHeight w:val="240"/>
        </w:trPr>
        <w:tc>
          <w:tcPr>
            <w:tcW w:w="2972" w:type="dxa"/>
          </w:tcPr>
          <w:p w:rsidR="003E0D55" w:rsidRPr="00B908AA" w:rsidRDefault="00A216A7" w:rsidP="003E0D55">
            <w:pPr>
              <w:autoSpaceDE w:val="0"/>
              <w:autoSpaceDN w:val="0"/>
              <w:adjustRightInd w:val="0"/>
              <w:rPr>
                <w:rFonts w:ascii="Arial Narrow" w:hAnsi="Arial Narrow" w:cs="Garamond-Bold"/>
                <w:b/>
                <w:bCs/>
                <w:sz w:val="24"/>
                <w:szCs w:val="24"/>
              </w:rPr>
            </w:pPr>
            <w:r>
              <w:rPr>
                <w:rFonts w:ascii="Arial Narrow" w:hAnsi="Arial Narrow" w:cs="Garamond-Bold"/>
                <w:b/>
                <w:bCs/>
                <w:sz w:val="24"/>
                <w:szCs w:val="24"/>
              </w:rPr>
              <w:lastRenderedPageBreak/>
              <w:t>Fecha_</w:t>
            </w:r>
          </w:p>
        </w:tc>
        <w:tc>
          <w:tcPr>
            <w:tcW w:w="5856" w:type="dxa"/>
          </w:tcPr>
          <w:p w:rsidR="003E0D55" w:rsidRDefault="00A216A7" w:rsidP="00A216A7">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Dra. Yolanda Villabona. Directora de Contratación Secretaría Distrital de Gobierno.</w:t>
            </w:r>
          </w:p>
        </w:tc>
      </w:tr>
      <w:tr w:rsidR="003E0D55" w:rsidRPr="00B908AA" w:rsidTr="00BD629A">
        <w:trPr>
          <w:trHeight w:val="240"/>
        </w:trPr>
        <w:tc>
          <w:tcPr>
            <w:tcW w:w="2972" w:type="dxa"/>
          </w:tcPr>
          <w:p w:rsidR="003E0D55" w:rsidRPr="004B6538" w:rsidRDefault="003E0D55" w:rsidP="003E0D55">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 xml:space="preserve">TEMA: </w:t>
            </w:r>
            <w:r>
              <w:rPr>
                <w:rFonts w:ascii="Arial Narrow" w:hAnsi="Arial Narrow" w:cs="Garamond-Bold"/>
                <w:b/>
                <w:bCs/>
                <w:sz w:val="24"/>
                <w:szCs w:val="24"/>
              </w:rPr>
              <w:t>SUPERVISION E INTERVENTORÍA CONTRACTUAL</w:t>
            </w:r>
          </w:p>
        </w:tc>
        <w:tc>
          <w:tcPr>
            <w:tcW w:w="5856" w:type="dxa"/>
          </w:tcPr>
          <w:p w:rsidR="003E0D55" w:rsidRPr="00B908AA" w:rsidRDefault="003E0D55" w:rsidP="003E0D55">
            <w:pPr>
              <w:autoSpaceDE w:val="0"/>
              <w:autoSpaceDN w:val="0"/>
              <w:adjustRightInd w:val="0"/>
              <w:jc w:val="center"/>
              <w:rPr>
                <w:rFonts w:ascii="Arial Narrow" w:hAnsi="Arial Narrow" w:cs="Garamond-Bold"/>
                <w:b/>
                <w:bCs/>
                <w:sz w:val="24"/>
                <w:szCs w:val="24"/>
              </w:rPr>
            </w:pPr>
            <w:r>
              <w:rPr>
                <w:rFonts w:ascii="Arial Narrow" w:hAnsi="Arial Narrow" w:cs="Garamond-Bold"/>
                <w:b/>
                <w:bCs/>
                <w:sz w:val="24"/>
                <w:szCs w:val="24"/>
              </w:rPr>
              <w:t>TESIS</w:t>
            </w:r>
          </w:p>
        </w:tc>
      </w:tr>
      <w:tr w:rsidR="003E0D55" w:rsidRPr="00B908AA" w:rsidTr="00BD629A">
        <w:trPr>
          <w:trHeight w:val="240"/>
        </w:trPr>
        <w:tc>
          <w:tcPr>
            <w:tcW w:w="2972" w:type="dxa"/>
          </w:tcPr>
          <w:p w:rsidR="003E0D55" w:rsidRPr="004B6538" w:rsidRDefault="003E0D55" w:rsidP="003E0D55">
            <w:pPr>
              <w:autoSpaceDE w:val="0"/>
              <w:autoSpaceDN w:val="0"/>
              <w:adjustRightInd w:val="0"/>
              <w:rPr>
                <w:rFonts w:ascii="Arial Narrow" w:hAnsi="Arial Narrow" w:cs="Garamond-Bold"/>
                <w:b/>
                <w:bCs/>
                <w:sz w:val="24"/>
                <w:szCs w:val="24"/>
              </w:rPr>
            </w:pPr>
          </w:p>
        </w:tc>
        <w:tc>
          <w:tcPr>
            <w:tcW w:w="5856" w:type="dxa"/>
          </w:tcPr>
          <w:p w:rsidR="003E0D55" w:rsidRPr="00B908AA" w:rsidRDefault="003E0D55" w:rsidP="003E0D55">
            <w:pPr>
              <w:pStyle w:val="NormalWeb"/>
              <w:jc w:val="both"/>
              <w:rPr>
                <w:rFonts w:ascii="Arial Narrow" w:hAnsi="Arial Narrow" w:cs="Garamond-Bold"/>
                <w:b/>
                <w:bCs/>
              </w:rPr>
            </w:pPr>
            <w:r w:rsidRPr="00C21ACE">
              <w:t xml:space="preserve">Como primera medida vale la pena aclarar que, les personas que colaboran con la Administración Pública bajo la modalidad de contrato de prestación de servicios, no ostentan como tal, la calidad de servidores públicos, sobre el particular cabe traer a colación la definición de servidor público contenida en el artículo 123 de la Constitución Política:  (..) ARTICULO  123. Son servidores públicos los miembros de las corporaciones públicas, los empleados y trabajadores del Estado y de sus entidades descentralizadas territorialmente y por servicios. Los servidores públicos están al servicio del Estado y de la comunidad; ejercerán sus funciones en la forma prevista por la Constitución, la ley y el reglamento. La ley determinará el régimen aplicable a los particulares que temporalmente desempeñen funciones públicas y regulará su ejercicio. Definido este aspecto, pasamos a precisar si, una persona vinculada a una Entidad Estatal en virtud de un contrato de prestación de servicios con un objeto especifico puede ser designado supervisor de un contrato.  De conformidad con el numeral 1° del artículo 14 de la Ley 80 de 1993, las Entidades contratantes tendrán la dirección general y la responsabilidad de ejercer el control y vigilancia de la ejecución del contrato. Para lo cual están dotadas de múltiples instrumentos legales para garantizar el cumplimiento del contrato estatal, tales como; (i) la introducción de modificaciones contractuales, (ii) la utilización y aplicación de las potestades excepcionales al derecho común y, (iii) aplicar el principio señalado en el artículo 27 de la misma disposición normativa, esto es, lo relativo a la ecuación económica del contrato.  La contratación estatal está ligada a la correcta administración e inversión de los recursos públicos, por esta razón, garantizar la vigilancia y control sobre la correcta y debida ejecución de sus contratos, es una función de la administración pública, inherente a la actividad contractual </w:t>
            </w:r>
            <w:r w:rsidRPr="00C21ACE">
              <w:lastRenderedPageBreak/>
              <w:t xml:space="preserve">que adelanta, constituyéndose ésta en una obligación de la entidad contratante que se encuentra en la esfera del principio de responsabilidad propio de la contratación estatal. De ahí surge la necesidad de realizar la vigilancia y control a través de figuras como la interventoría y la supervisión para que desarrollen esta función en los aspectos técnicos, económicos y jurídicos que se presenten durante la ejecución de un contrato. Para definir estos aspectos, el artículo 83 de la Ley 1474 de 2011 sobre la supervisión e interventoría contractual estableció lo siguiente: ARTÍCULO 83. SUPERVISIÓN E INTERVENTORÍA CONTRACTUAL. Con el fin de proteger la moralidad administrativa, de prevenir la ocurrencia de actos de corrupción y de tutelar la transparencia de la actividad contractual, las entidades públicas están obligadas a vigilar permanentemente la correcta ejecución del objeto contratado a través de un supervisor o un interventor, según corresponda. </w:t>
            </w:r>
            <w:r>
              <w:t>L</w:t>
            </w:r>
            <w:r w:rsidRPr="00C21ACE">
              <w:t>a supervisión consistirá en el seguimiento técnico, administrativo, financiero, contable, y jurídico que sobre el cumplimiento del objeto del contrato, es ejercida por la misma entidad estatal cuando no requieren conocimientos especializados. Para la supervisión, la Entidad estatal podrá contratar personal de apoyo, a través de los contratos de prestación de servicios que sean requeridos.</w:t>
            </w:r>
            <w:r>
              <w:t xml:space="preserve"> </w:t>
            </w:r>
            <w:r w:rsidRPr="00C21ACE">
              <w:t xml:space="preserve">La interventoría consistirá en el seguimiento técnico que sobre el cumplimiento del contrato realice una persona natural o jurídica contratada para tal fin por la Entidad Estatal, cuando el seguimiento del contrato suponga conocimiento especializado en la materia, o cuando la complejidad o la extensión del mismo lo justifiquen. No obstante, lo anterior cuando la entidad lo encuentre justificado y acorde a la naturaleza del contrato principal, podrá contratar el seguimiento administrativo, técnico, financiero, contable, jurídico del objeto o contrato dentro de la interventoría. Por regla general, no serán concurrentes en relación con un mismo contrato, las funciones de super-visión e interventoría. Sin embargo, la entidad puede dividir la vigilancia del contrato principal, caso en el </w:t>
            </w:r>
            <w:r w:rsidR="00932643" w:rsidRPr="00C21ACE">
              <w:t>cual,</w:t>
            </w:r>
            <w:r w:rsidRPr="00C21ACE">
              <w:t xml:space="preserve"> en el contrato respectivo de interventoría, se deberán indicar las actividades técnicas a cargo del interventor y las demás quedarán a cargo de la Entidad a través del supervisor. El contrato de Interventoría será supervisado directamente por la entidad estatal. PARÁGRAFO 1o. En adición a la obligación de contar con interventoría, teniendo en cuenta la capacidad de la entidad para asumir o no la respectiva supervisión en los contratos de obra a que se refiere el </w:t>
            </w:r>
            <w:r w:rsidRPr="00C21ACE">
              <w:lastRenderedPageBreak/>
              <w:t>artículo 32 de la Ley 80 de 1993, los estudios previos de los contratos cuyo valor supere la menor cuantía de la entidad, con independencia de la modalidad de selección, se pronunciarán sobre la necesidad de contar con interventoría. PARÁGRAFO 2o. El Gobierno Nacional reglamentará la materia. De lectura anterior, podemos encontrar notorias diferencias entre la supervisión e interventoría de un contrato</w:t>
            </w:r>
            <w:r>
              <w:t xml:space="preserve">. </w:t>
            </w:r>
            <w:r w:rsidRPr="00C21ACE">
              <w:t xml:space="preserve">INTERVENTORIA  1. Seguimiento eminentemente </w:t>
            </w:r>
            <w:r w:rsidR="00932643" w:rsidRPr="00C21ACE">
              <w:t>técnico,</w:t>
            </w:r>
            <w:r w:rsidRPr="00C21ACE">
              <w:t xml:space="preserve"> aunque se puede contratar las demás funciones. 2. Ejercida por un contratista seleccionado a través de concurso de méritos o mínima cuantía. 3. Persona natural o jurídica, consorcio o UT. 4. Cuando se requiere conocimiento especializado o por la complejidad o la extensión del mismo lo justifiquen. 5. Obligatoria en los contratos de obra resultantes de una Licitación pública (Art. 32 num. 1º de la Ley 80 de 1993) Tenemos entonces que, el interventor adelanta, básicamente, una función de verificación y control técnico de la ejecución contractual. Es por ello que el artículo 32 de la Ley 80 de 1993, establece que “Ninguna orden del interventor de una obra podrá darse verbalmente”, que “Es obligatorio para el interventor entregar por escrito sus órdenes o sugerencias” y además, que “ellas deben enmarcarse dentro de los términos del respectivo contrato”, es decir que el negocio jurídico sobre el cual ejercerá vigilancia, constituye el marco dentro del cual la misma debe llevarse a cabo.  Por otra parte, y en lo relacionado con la Supervisión del contrato tenemos lo siguiente:  SUPERVISIÓN</w:t>
            </w:r>
            <w:r>
              <w:t>.</w:t>
            </w:r>
            <w:r w:rsidRPr="00C21ACE">
              <w:t xml:space="preserve"> 1. Seguimiento técnico, administrativo, financiero, contable, y jurídico. 2. Ejercida por la misma entidad estatal a través de sus funcionarios. 3. Es ejercida únicamente por una persona natural. 4. Se ejerce por la entidad cuando no requieren conocimientos especializados. 5. La supervisión no se puede contratar sino el apoyo al supervisor.  La Ley 80 de 1993 en su artículo 14, respecto de la supervisión del contrato administrativo, dispuso: “Art. 14- De los medios que pueden utilizar las entidades estatales para el cumplimiento del objeto contractual. Para el cumplimiento de los fines de la contratación, las entidades estatales al celebrar un contrato: 1. Tendrán la dirección general y la responsabilidad de ejercer el control y vigilancia de la ejecución del contrato”.  (…) En su artículo 4°, de los derechos y deberes de las entidades estatales, la Ley 80 de 1993 señala: “Art. 4- Para la consecución de los fines de que trata el artículo anterior [Art.3°- de los fines de la contratación estatal], las entidades estatales: (…) 4. Adelantarán revisiones </w:t>
            </w:r>
            <w:r w:rsidRPr="00C21ACE">
              <w:lastRenderedPageBreak/>
              <w:t>periódicas de las obras ejecutadas, servicios prestados o bienes suministrados, para verificar que ellos cumplan con las condiciones de calidad ofrecidas por los contratistas, y promoverán las acciones de responsabilidad contra éstos y sus garantes cuando dichas condiciones no se cumplan. Las revisiones periódicas a que se refiere el presente numeral deberán llevarse a cabo por lo menos una vez cada seis (6) meses durante el término de vigencia de las garantías”.  La supervisión del contrato es un proceso sucesivo de control, no solo técnico sino también administrativo, jurídico y financiero del contrato que busca verificar que cada una de las partes que suscribe el contrato lo haga en los términos que se pactaron inicialmente. La supervisión de un contrato se encuentra en cabeza del Estado, ello en desarrollo de las actividades de Dirección y Control que este realiza para el cumplimiento de los fines encomendados tal y como lo señalamos en párrafos anteriores. Partiendo de esta premisa, podríamos afirmar que, el ejercicio de las actividades de supervisión son propias del servidor público encargado de vigilar la correcta ejecución del contrato, no obstante, el artículo 83 del Estatuto Anticorrupción posibilita a las Entidades Estatales contratar bajo la modalidad de contratos de prestación de servicios personas que realicen actividades de apoyo a la supervisión, ello sin que la Entidad Estatal a través del Supervisor (servidor público designado) pierda la competencia para realizar la vigilancia directa del contrato. Así las cosas, podemos concluir, lo siguiente: 1) La Supervisión del Contrato debe ser realizada directamente por la Entidad Estatal a través del servidor público designado para ello.  2) No se puede contratar directamente bajo la modalidad de contrato de prestación de servicios la supervisión de un contrato dado que es una función propia del Estado, la cual es realizada a través del servidor público designado para ello. 3) Resulta valido contratar bajo la modalidad de contrato de prestación de servicios una persona natural para que realice actividades de apoyo a la supervisión del contrato, todo esto siempre y cuando se contemple dentro de las obligaciones a cargo del contratista, actividades de apoyo a la supervisión tal y como lo señala en el artículo 83 de la Ley 1474 de 2011.</w:t>
            </w:r>
          </w:p>
        </w:tc>
      </w:tr>
      <w:tr w:rsidR="003E0D55" w:rsidRPr="00B908AA" w:rsidTr="00BD629A">
        <w:trPr>
          <w:trHeight w:val="240"/>
        </w:trPr>
        <w:tc>
          <w:tcPr>
            <w:tcW w:w="2972" w:type="dxa"/>
          </w:tcPr>
          <w:p w:rsidR="003E0D55" w:rsidRPr="004B6538" w:rsidRDefault="003E0D55" w:rsidP="003E0D55">
            <w:pPr>
              <w:autoSpaceDE w:val="0"/>
              <w:autoSpaceDN w:val="0"/>
              <w:adjustRightInd w:val="0"/>
              <w:rPr>
                <w:rFonts w:ascii="Arial Narrow" w:hAnsi="Arial Narrow" w:cs="Garamond-Bold"/>
                <w:b/>
                <w:bCs/>
                <w:sz w:val="24"/>
                <w:szCs w:val="24"/>
              </w:rPr>
            </w:pPr>
            <w:r>
              <w:rPr>
                <w:rFonts w:ascii="Arial Narrow" w:hAnsi="Arial Narrow" w:cs="Garamond-Bold"/>
                <w:b/>
                <w:bCs/>
                <w:sz w:val="24"/>
                <w:szCs w:val="24"/>
              </w:rPr>
              <w:lastRenderedPageBreak/>
              <w:t>Fecha: 23-03-2018</w:t>
            </w:r>
          </w:p>
        </w:tc>
        <w:tc>
          <w:tcPr>
            <w:tcW w:w="5856" w:type="dxa"/>
          </w:tcPr>
          <w:p w:rsidR="003E0D55" w:rsidRPr="00B908AA" w:rsidRDefault="003E0D55" w:rsidP="003E0D55">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w:t>
            </w:r>
            <w:r>
              <w:rPr>
                <w:rFonts w:ascii="Arial Narrow" w:hAnsi="Arial Narrow" w:cs="Garamond-Bold"/>
                <w:b/>
                <w:bCs/>
                <w:sz w:val="24"/>
                <w:szCs w:val="24"/>
              </w:rPr>
              <w:t>a</w:t>
            </w:r>
            <w:r w:rsidRPr="00B908AA">
              <w:rPr>
                <w:rFonts w:ascii="Arial Narrow" w:hAnsi="Arial Narrow" w:cs="Garamond-Bold"/>
                <w:b/>
                <w:bCs/>
                <w:sz w:val="24"/>
                <w:szCs w:val="24"/>
              </w:rPr>
              <w:t xml:space="preserve">. </w:t>
            </w:r>
            <w:r>
              <w:rPr>
                <w:rFonts w:ascii="Arial Narrow" w:hAnsi="Arial Narrow" w:cs="Garamond-Bold"/>
                <w:b/>
                <w:bCs/>
                <w:sz w:val="24"/>
                <w:szCs w:val="24"/>
              </w:rPr>
              <w:t>Yolanda Villabona. Directora de Contratación</w:t>
            </w:r>
            <w:r w:rsidRPr="00B908AA">
              <w:rPr>
                <w:rFonts w:ascii="Arial Narrow" w:hAnsi="Arial Narrow" w:cs="Garamond-Bold"/>
                <w:b/>
                <w:bCs/>
                <w:sz w:val="24"/>
                <w:szCs w:val="24"/>
              </w:rPr>
              <w:t xml:space="preserve"> Secretaría Distrital de Gobierno.</w:t>
            </w:r>
          </w:p>
        </w:tc>
      </w:tr>
      <w:tr w:rsidR="003E0D55" w:rsidRPr="00B908AA" w:rsidTr="00BD629A">
        <w:trPr>
          <w:trHeight w:val="240"/>
        </w:trPr>
        <w:tc>
          <w:tcPr>
            <w:tcW w:w="2972" w:type="dxa"/>
          </w:tcPr>
          <w:p w:rsidR="003E0D55" w:rsidRPr="00B908AA" w:rsidRDefault="003E0D55" w:rsidP="003E0D55">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TEMA: </w:t>
            </w:r>
            <w:r w:rsidRPr="004B6538">
              <w:rPr>
                <w:rFonts w:ascii="Arial Narrow" w:hAnsi="Arial Narrow" w:cs="Garamond-Bold"/>
                <w:b/>
                <w:bCs/>
                <w:sz w:val="24"/>
                <w:szCs w:val="24"/>
              </w:rPr>
              <w:t xml:space="preserve">SUSPENSIÓN DE CONTRATO DE PRESTACIÓN DE SERVICIOS </w:t>
            </w:r>
            <w:r w:rsidRPr="004B6538">
              <w:rPr>
                <w:rFonts w:ascii="Arial Narrow" w:hAnsi="Arial Narrow" w:cs="Garamond-Bold"/>
                <w:b/>
                <w:bCs/>
                <w:sz w:val="24"/>
                <w:szCs w:val="24"/>
              </w:rPr>
              <w:lastRenderedPageBreak/>
              <w:t>DURANTE LA LICENCIA DE MATERNIDAD</w:t>
            </w:r>
          </w:p>
        </w:tc>
        <w:tc>
          <w:tcPr>
            <w:tcW w:w="5856" w:type="dxa"/>
          </w:tcPr>
          <w:p w:rsidR="003E0D55" w:rsidRPr="00B908AA" w:rsidRDefault="003E0D55" w:rsidP="003E0D55">
            <w:pPr>
              <w:autoSpaceDE w:val="0"/>
              <w:autoSpaceDN w:val="0"/>
              <w:adjustRightInd w:val="0"/>
              <w:jc w:val="center"/>
              <w:rPr>
                <w:rFonts w:ascii="Arial Narrow" w:hAnsi="Arial Narrow" w:cs="Garamond-Bold"/>
                <w:b/>
                <w:bCs/>
                <w:sz w:val="24"/>
                <w:szCs w:val="24"/>
              </w:rPr>
            </w:pPr>
          </w:p>
          <w:p w:rsidR="003E0D55" w:rsidRPr="00B908AA" w:rsidRDefault="003E0D55" w:rsidP="003E0D55">
            <w:pPr>
              <w:autoSpaceDE w:val="0"/>
              <w:autoSpaceDN w:val="0"/>
              <w:adjustRightInd w:val="0"/>
              <w:jc w:val="center"/>
              <w:rPr>
                <w:rFonts w:ascii="Arial Narrow" w:hAnsi="Arial Narrow" w:cs="Garamond-Bold"/>
                <w:b/>
                <w:bCs/>
                <w:sz w:val="24"/>
                <w:szCs w:val="24"/>
              </w:rPr>
            </w:pPr>
            <w:r w:rsidRPr="00B908AA">
              <w:rPr>
                <w:rFonts w:ascii="Arial Narrow" w:hAnsi="Arial Narrow" w:cs="Garamond-Bold"/>
                <w:b/>
                <w:bCs/>
                <w:sz w:val="24"/>
                <w:szCs w:val="24"/>
              </w:rPr>
              <w:t>TESIS</w:t>
            </w:r>
          </w:p>
        </w:tc>
      </w:tr>
      <w:tr w:rsidR="003E0D55" w:rsidRPr="00B908AA" w:rsidTr="00BD629A">
        <w:trPr>
          <w:trHeight w:val="240"/>
        </w:trPr>
        <w:tc>
          <w:tcPr>
            <w:tcW w:w="2972" w:type="dxa"/>
          </w:tcPr>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Cs/>
                <w:sz w:val="24"/>
                <w:szCs w:val="24"/>
              </w:rPr>
            </w:pPr>
          </w:p>
          <w:p w:rsidR="003E0D55" w:rsidRPr="00B908AA" w:rsidRDefault="003E0D55" w:rsidP="003E0D55">
            <w:pPr>
              <w:autoSpaceDE w:val="0"/>
              <w:autoSpaceDN w:val="0"/>
              <w:adjustRightInd w:val="0"/>
              <w:jc w:val="both"/>
              <w:rPr>
                <w:rFonts w:ascii="Arial Narrow" w:hAnsi="Arial Narrow" w:cs="Garamond-Bold"/>
                <w:b/>
                <w:bCs/>
                <w:sz w:val="24"/>
                <w:szCs w:val="24"/>
              </w:rPr>
            </w:pPr>
            <w:r w:rsidRPr="00B908AA">
              <w:rPr>
                <w:rFonts w:ascii="Arial Narrow" w:hAnsi="Arial Narrow" w:cs="Garamond-Bold"/>
                <w:b/>
                <w:bCs/>
                <w:sz w:val="24"/>
                <w:szCs w:val="24"/>
              </w:rPr>
              <w:t xml:space="preserve"> </w:t>
            </w:r>
          </w:p>
        </w:tc>
        <w:tc>
          <w:tcPr>
            <w:tcW w:w="5856" w:type="dxa"/>
          </w:tcPr>
          <w:p w:rsidR="003E0D55" w:rsidRPr="00B908AA" w:rsidRDefault="003E0D55" w:rsidP="003E0D55">
            <w:pPr>
              <w:pStyle w:val="NormalWeb"/>
              <w:jc w:val="both"/>
              <w:rPr>
                <w:rFonts w:ascii="Arial Narrow" w:hAnsi="Arial Narrow" w:cs="Garamond-Bold"/>
                <w:bCs/>
              </w:rPr>
            </w:pPr>
            <w:r w:rsidRPr="00B908AA">
              <w:rPr>
                <w:rFonts w:ascii="Arial Narrow" w:hAnsi="Arial Narrow" w:cs="Garamond-Bold"/>
                <w:bCs/>
              </w:rPr>
              <w:t xml:space="preserve"> </w:t>
            </w:r>
            <w:r>
              <w:t xml:space="preserve">(…) 1. La jurisprudencia constitucional ha precisado que la estabilidad laboral reforzada se predica para todos los contratos sin importar su naturaleza o si el empleador o contratante es del sector público o privado. 2. Resulta procedente la aplicación de las medidas propias de estabilidad en relaciones laborales a modalidades de servicios sustentadas en relaciones contractuales distintas al contrato de trabajo. Y la manifestación práctica de esta puede ser la suscripción de un nuevo contrato de prestación de servicios ante el vencimiento del primero como medida de protección principal o la suspensión del mismo como medida subsidiaria. 3. Con el fin de determinar la procedencia frente a la solicitud de la suspensión del contrato, se debe como primera medida verificar las condiciones especiales del estado de gestación de la contratista o en disfrute de su licencia de maternidad y de esta forma determinar si puede o no continuar con la ejecución de las obligaciones del contrato.  4. En caso de que el contrato de prestación de servicios decida suspenderse de común acuerdo entre las partes, una vez superadas las causas que dieron origen a su suspensión, continuara su ejecución en los términos contractualmente pactados. 5. En caso de que el contrato sea suspendido y su plazo de ejecución pase de una vigencia fiscal a otra, una vez reanudado continuara ejecutándose con los recursos presupuestales con los que fuere inicialmente apropiado. </w:t>
            </w:r>
          </w:p>
        </w:tc>
      </w:tr>
      <w:tr w:rsidR="003E0D55" w:rsidRPr="00B908AA" w:rsidTr="00BD629A">
        <w:trPr>
          <w:trHeight w:val="240"/>
        </w:trPr>
        <w:tc>
          <w:tcPr>
            <w:tcW w:w="2972" w:type="dxa"/>
          </w:tcPr>
          <w:p w:rsidR="003E0D55" w:rsidRPr="004B6538" w:rsidRDefault="003E0D55" w:rsidP="003E0D55">
            <w:pPr>
              <w:autoSpaceDE w:val="0"/>
              <w:autoSpaceDN w:val="0"/>
              <w:adjustRightInd w:val="0"/>
              <w:rPr>
                <w:rFonts w:ascii="Arial Narrow" w:hAnsi="Arial Narrow" w:cs="Garamond-Bold"/>
                <w:b/>
                <w:bCs/>
                <w:sz w:val="24"/>
                <w:szCs w:val="24"/>
              </w:rPr>
            </w:pPr>
            <w:r w:rsidRPr="004B6538">
              <w:rPr>
                <w:rFonts w:ascii="Arial Narrow" w:hAnsi="Arial Narrow" w:cs="Garamond-Bold"/>
                <w:b/>
                <w:bCs/>
                <w:sz w:val="24"/>
                <w:szCs w:val="24"/>
              </w:rPr>
              <w:t>Fecha: 24-08-2018</w:t>
            </w:r>
          </w:p>
          <w:p w:rsidR="003E0D55" w:rsidRPr="00B908AA" w:rsidRDefault="003E0D55" w:rsidP="003E0D55">
            <w:pPr>
              <w:autoSpaceDE w:val="0"/>
              <w:autoSpaceDN w:val="0"/>
              <w:adjustRightInd w:val="0"/>
              <w:rPr>
                <w:rFonts w:ascii="Arial Narrow" w:hAnsi="Arial Narrow" w:cs="Garamond-Bold"/>
                <w:b/>
                <w:bCs/>
                <w:sz w:val="24"/>
                <w:szCs w:val="24"/>
              </w:rPr>
            </w:pPr>
          </w:p>
        </w:tc>
        <w:tc>
          <w:tcPr>
            <w:tcW w:w="5856" w:type="dxa"/>
          </w:tcPr>
          <w:p w:rsidR="003E0D55" w:rsidRPr="00B908AA" w:rsidRDefault="003E0D55" w:rsidP="003E0D55">
            <w:pPr>
              <w:autoSpaceDE w:val="0"/>
              <w:autoSpaceDN w:val="0"/>
              <w:adjustRightInd w:val="0"/>
              <w:rPr>
                <w:rFonts w:ascii="Arial Narrow" w:hAnsi="Arial Narrow" w:cs="Garamond-Bold"/>
                <w:b/>
                <w:bCs/>
                <w:sz w:val="24"/>
                <w:szCs w:val="24"/>
              </w:rPr>
            </w:pPr>
            <w:r w:rsidRPr="00B908AA">
              <w:rPr>
                <w:rFonts w:ascii="Arial Narrow" w:hAnsi="Arial Narrow" w:cs="Garamond-Bold"/>
                <w:b/>
                <w:bCs/>
                <w:sz w:val="24"/>
                <w:szCs w:val="24"/>
              </w:rPr>
              <w:t>Autor: Dr</w:t>
            </w:r>
            <w:r>
              <w:rPr>
                <w:rFonts w:ascii="Arial Narrow" w:hAnsi="Arial Narrow" w:cs="Garamond-Bold"/>
                <w:b/>
                <w:bCs/>
                <w:sz w:val="24"/>
                <w:szCs w:val="24"/>
              </w:rPr>
              <w:t>a</w:t>
            </w:r>
            <w:r w:rsidRPr="00B908AA">
              <w:rPr>
                <w:rFonts w:ascii="Arial Narrow" w:hAnsi="Arial Narrow" w:cs="Garamond-Bold"/>
                <w:b/>
                <w:bCs/>
                <w:sz w:val="24"/>
                <w:szCs w:val="24"/>
              </w:rPr>
              <w:t xml:space="preserve">. </w:t>
            </w:r>
            <w:r>
              <w:rPr>
                <w:rFonts w:ascii="Arial Narrow" w:hAnsi="Arial Narrow" w:cs="Garamond-Bold"/>
                <w:b/>
                <w:bCs/>
                <w:sz w:val="24"/>
                <w:szCs w:val="24"/>
              </w:rPr>
              <w:t>Yolanda Villabona. Directora de Contratación</w:t>
            </w:r>
            <w:r w:rsidRPr="00B908AA">
              <w:rPr>
                <w:rFonts w:ascii="Arial Narrow" w:hAnsi="Arial Narrow" w:cs="Garamond-Bold"/>
                <w:b/>
                <w:bCs/>
                <w:sz w:val="24"/>
                <w:szCs w:val="24"/>
              </w:rPr>
              <w:t xml:space="preserve"> Secretaría Distrital de Gobierno.</w:t>
            </w:r>
          </w:p>
        </w:tc>
      </w:tr>
    </w:tbl>
    <w:p w:rsidR="006C4502" w:rsidRPr="00B908AA" w:rsidRDefault="006C4502" w:rsidP="00E40D54">
      <w:pPr>
        <w:autoSpaceDE w:val="0"/>
        <w:autoSpaceDN w:val="0"/>
        <w:adjustRightInd w:val="0"/>
        <w:spacing w:after="0" w:line="240" w:lineRule="auto"/>
        <w:rPr>
          <w:rFonts w:ascii="Arial Narrow" w:hAnsi="Arial Narrow" w:cs="Garamond-Bold"/>
          <w:b/>
          <w:bCs/>
          <w:color w:val="0021FF"/>
          <w:sz w:val="24"/>
          <w:szCs w:val="24"/>
        </w:rPr>
      </w:pPr>
    </w:p>
    <w:p w:rsidR="002C5D48" w:rsidRPr="00B908AA" w:rsidRDefault="002C5D48" w:rsidP="00E40D54">
      <w:pPr>
        <w:autoSpaceDE w:val="0"/>
        <w:autoSpaceDN w:val="0"/>
        <w:adjustRightInd w:val="0"/>
        <w:spacing w:after="0" w:line="240" w:lineRule="auto"/>
        <w:rPr>
          <w:rFonts w:ascii="Arial Narrow" w:hAnsi="Arial Narrow" w:cs="Garamond-Bold"/>
          <w:b/>
          <w:bCs/>
          <w:color w:val="0021FF"/>
          <w:sz w:val="24"/>
          <w:szCs w:val="24"/>
        </w:rPr>
      </w:pPr>
    </w:p>
    <w:p w:rsidR="002C5D48" w:rsidRDefault="002C5D48" w:rsidP="00E40D54">
      <w:pPr>
        <w:autoSpaceDE w:val="0"/>
        <w:autoSpaceDN w:val="0"/>
        <w:adjustRightInd w:val="0"/>
        <w:spacing w:after="0" w:line="240" w:lineRule="auto"/>
        <w:rPr>
          <w:rFonts w:ascii="Arial Narrow" w:hAnsi="Arial Narrow" w:cs="Garamond-Bold"/>
          <w:b/>
          <w:bCs/>
          <w:color w:val="0021FF"/>
          <w:sz w:val="24"/>
          <w:szCs w:val="24"/>
        </w:rPr>
      </w:pPr>
    </w:p>
    <w:p w:rsidR="00B917A3" w:rsidRDefault="00B917A3" w:rsidP="00E40D54">
      <w:pPr>
        <w:autoSpaceDE w:val="0"/>
        <w:autoSpaceDN w:val="0"/>
        <w:adjustRightInd w:val="0"/>
        <w:spacing w:after="0" w:line="240" w:lineRule="auto"/>
        <w:rPr>
          <w:rFonts w:ascii="Arial Narrow" w:hAnsi="Arial Narrow" w:cs="Garamond-Bold"/>
          <w:b/>
          <w:bCs/>
          <w:color w:val="0021FF"/>
          <w:sz w:val="24"/>
          <w:szCs w:val="24"/>
        </w:rPr>
      </w:pPr>
    </w:p>
    <w:p w:rsidR="00B917A3" w:rsidRDefault="00B917A3" w:rsidP="00E40D54">
      <w:pPr>
        <w:autoSpaceDE w:val="0"/>
        <w:autoSpaceDN w:val="0"/>
        <w:adjustRightInd w:val="0"/>
        <w:spacing w:after="0" w:line="240" w:lineRule="auto"/>
        <w:rPr>
          <w:rFonts w:ascii="Arial Narrow" w:hAnsi="Arial Narrow" w:cs="Garamond-Bold"/>
          <w:b/>
          <w:bCs/>
          <w:color w:val="0021FF"/>
          <w:sz w:val="24"/>
          <w:szCs w:val="24"/>
        </w:rPr>
      </w:pPr>
      <w:bookmarkStart w:id="5" w:name="_GoBack"/>
      <w:bookmarkEnd w:id="5"/>
    </w:p>
    <w:sectPr w:rsidR="00B917A3" w:rsidSect="000E0E95">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9E1" w:rsidRDefault="00A569E1" w:rsidP="00260125">
      <w:pPr>
        <w:spacing w:after="0" w:line="240" w:lineRule="auto"/>
      </w:pPr>
      <w:r>
        <w:separator/>
      </w:r>
    </w:p>
  </w:endnote>
  <w:endnote w:type="continuationSeparator" w:id="0">
    <w:p w:rsidR="00A569E1" w:rsidRDefault="00A569E1" w:rsidP="00260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roid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aramond-Bold">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813794"/>
      <w:docPartObj>
        <w:docPartGallery w:val="Page Numbers (Bottom of Page)"/>
        <w:docPartUnique/>
      </w:docPartObj>
    </w:sdtPr>
    <w:sdtContent>
      <w:p w:rsidR="00932643" w:rsidRDefault="00932643">
        <w:pPr>
          <w:pStyle w:val="Piedepgina"/>
          <w:jc w:val="right"/>
        </w:pPr>
        <w:r>
          <w:fldChar w:fldCharType="begin"/>
        </w:r>
        <w:r>
          <w:instrText>PAGE   \* MERGEFORMAT</w:instrText>
        </w:r>
        <w:r>
          <w:fldChar w:fldCharType="separate"/>
        </w:r>
        <w:r w:rsidR="00475D79" w:rsidRPr="00475D79">
          <w:rPr>
            <w:noProof/>
            <w:lang w:val="es-ES"/>
          </w:rPr>
          <w:t>84</w:t>
        </w:r>
        <w:r>
          <w:fldChar w:fldCharType="end"/>
        </w:r>
      </w:p>
    </w:sdtContent>
  </w:sdt>
  <w:p w:rsidR="00932643" w:rsidRDefault="009326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9E1" w:rsidRDefault="00A569E1" w:rsidP="00260125">
      <w:pPr>
        <w:spacing w:after="0" w:line="240" w:lineRule="auto"/>
      </w:pPr>
      <w:r>
        <w:separator/>
      </w:r>
    </w:p>
  </w:footnote>
  <w:footnote w:type="continuationSeparator" w:id="0">
    <w:p w:rsidR="00A569E1" w:rsidRDefault="00A569E1" w:rsidP="00260125">
      <w:pPr>
        <w:spacing w:after="0" w:line="240" w:lineRule="auto"/>
      </w:pPr>
      <w:r>
        <w:continuationSeparator/>
      </w:r>
    </w:p>
  </w:footnote>
  <w:footnote w:id="1">
    <w:p w:rsidR="00932643" w:rsidRPr="00ED14AB" w:rsidRDefault="00932643" w:rsidP="00FD2630">
      <w:pPr>
        <w:pStyle w:val="Textonotapie"/>
        <w:jc w:val="both"/>
        <w:rPr>
          <w:sz w:val="18"/>
          <w:szCs w:val="18"/>
        </w:rPr>
      </w:pPr>
      <w:r w:rsidRPr="00ED14AB">
        <w:rPr>
          <w:sz w:val="18"/>
          <w:szCs w:val="18"/>
        </w:rPr>
        <w:footnoteRef/>
      </w:r>
      <w:r w:rsidRPr="00ED14AB">
        <w:rPr>
          <w:sz w:val="18"/>
          <w:szCs w:val="18"/>
        </w:rPr>
        <w:t xml:space="preserve"> Decreto 4765 del 18 de diciembre de 2008, Por medio del cual se modificó la estructura del ICA. Artículo 5º. Al ICA compete el desarrollo sostenido del sector agropecuario, pesquero y acuícola, mediante la</w:t>
      </w:r>
      <w:r w:rsidRPr="00ED14AB">
        <w:rPr>
          <w:bCs/>
          <w:color w:val="333333"/>
          <w:sz w:val="18"/>
          <w:szCs w:val="18"/>
        </w:rPr>
        <w:t xml:space="preserve"> </w:t>
      </w:r>
      <w:r w:rsidRPr="00ED14AB">
        <w:rPr>
          <w:sz w:val="18"/>
          <w:szCs w:val="18"/>
        </w:rPr>
        <w:t>prevención, vigilancia y control de los riesgos sanitarios, biológicos y químicos para las especies animales y vegetales, la investigación aplicada y la administración, investigación y ordenamiento de los recursos pesqueros y acuícolas, con el fin de proteger la salud de las personas, los animales y las plantas y asegurar las condiciones del comercio.</w:t>
      </w:r>
    </w:p>
  </w:footnote>
  <w:footnote w:id="2">
    <w:p w:rsidR="00932643" w:rsidRPr="002A4529" w:rsidRDefault="00932643" w:rsidP="00914C27">
      <w:pPr>
        <w:pStyle w:val="NormalWeb"/>
        <w:rPr>
          <w:b/>
          <w:sz w:val="18"/>
          <w:szCs w:val="18"/>
        </w:rPr>
      </w:pPr>
      <w:r w:rsidRPr="002A4529">
        <w:rPr>
          <w:rStyle w:val="Refdenotaalpie"/>
          <w:sz w:val="18"/>
          <w:szCs w:val="18"/>
        </w:rPr>
        <w:footnoteRef/>
      </w:r>
      <w:r w:rsidRPr="002A4529">
        <w:rPr>
          <w:sz w:val="18"/>
          <w:szCs w:val="18"/>
        </w:rPr>
        <w:t xml:space="preserve"> </w:t>
      </w:r>
      <w:bookmarkStart w:id="0" w:name="113"/>
      <w:r w:rsidRPr="002A4529">
        <w:rPr>
          <w:color w:val="4B4949"/>
          <w:sz w:val="18"/>
          <w:szCs w:val="18"/>
        </w:rPr>
        <w:t>Artículo 113. </w:t>
      </w:r>
      <w:bookmarkEnd w:id="0"/>
      <w:r w:rsidRPr="002A4529">
        <w:rPr>
          <w:color w:val="4B4949"/>
          <w:sz w:val="18"/>
          <w:szCs w:val="18"/>
        </w:rPr>
        <w:t xml:space="preserve"> Son Ramas del Poder Público, la legislativa, la ejecutiva, y la judicial. </w:t>
      </w:r>
      <w:r w:rsidRPr="00F270F3">
        <w:rPr>
          <w:color w:val="4B4949"/>
          <w:sz w:val="18"/>
          <w:szCs w:val="18"/>
        </w:rPr>
        <w:t xml:space="preserve">Además de los órganos que las integran existen otros, autónomos e independientes, para el cumplimiento de las demás funciones del Estado. Los diferentes órganos del Estado tienen funciones </w:t>
      </w:r>
      <w:r w:rsidRPr="002A4529">
        <w:rPr>
          <w:color w:val="4B4949"/>
          <w:sz w:val="18"/>
          <w:szCs w:val="18"/>
        </w:rPr>
        <w:t>separadas,</w:t>
      </w:r>
      <w:r w:rsidRPr="00F270F3">
        <w:rPr>
          <w:color w:val="4B4949"/>
          <w:sz w:val="18"/>
          <w:szCs w:val="18"/>
        </w:rPr>
        <w:t xml:space="preserve"> pero colaboran armónicamente para la realización de sus fines.</w:t>
      </w:r>
    </w:p>
  </w:footnote>
  <w:footnote w:id="3">
    <w:p w:rsidR="00932643" w:rsidRDefault="00932643" w:rsidP="0050517D">
      <w:pPr>
        <w:pStyle w:val="NormalWeb"/>
        <w:shd w:val="clear" w:color="auto" w:fill="FFFFFF"/>
        <w:jc w:val="both"/>
        <w:rPr>
          <w:rFonts w:ascii="Garamond" w:hAnsi="Garamond"/>
          <w:sz w:val="18"/>
          <w:szCs w:val="18"/>
        </w:rPr>
      </w:pPr>
      <w:r>
        <w:rPr>
          <w:rStyle w:val="Refdenotaalpie"/>
          <w:rFonts w:ascii="Garamond" w:hAnsi="Garamond"/>
          <w:sz w:val="18"/>
          <w:szCs w:val="18"/>
        </w:rPr>
        <w:footnoteRef/>
      </w:r>
      <w:r>
        <w:rPr>
          <w:rFonts w:ascii="Garamond" w:hAnsi="Garamond"/>
          <w:sz w:val="18"/>
          <w:szCs w:val="18"/>
        </w:rPr>
        <w:t xml:space="preserve"> CPC, Artículo 209. </w:t>
      </w:r>
      <w:r>
        <w:rPr>
          <w:rFonts w:ascii="Garamond" w:hAnsi="Garamond"/>
          <w:color w:val="000000"/>
          <w:sz w:val="18"/>
          <w:szCs w:val="18"/>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w:t>
      </w:r>
    </w:p>
  </w:footnote>
  <w:footnote w:id="4">
    <w:p w:rsidR="00932643" w:rsidRDefault="00932643" w:rsidP="0050517D">
      <w:pPr>
        <w:pStyle w:val="Textonotapie"/>
        <w:rPr>
          <w:rFonts w:ascii="Garamond" w:hAnsi="Garamond"/>
          <w:sz w:val="18"/>
          <w:szCs w:val="18"/>
        </w:rPr>
      </w:pPr>
      <w:r>
        <w:rPr>
          <w:rStyle w:val="Refdenotaalpie"/>
          <w:rFonts w:ascii="Garamond" w:hAnsi="Garamond"/>
          <w:sz w:val="18"/>
          <w:szCs w:val="18"/>
        </w:rPr>
        <w:footnoteRef/>
      </w:r>
      <w:r>
        <w:rPr>
          <w:rFonts w:ascii="Garamond" w:hAnsi="Garamond"/>
          <w:sz w:val="18"/>
          <w:szCs w:val="18"/>
        </w:rPr>
        <w:t xml:space="preserve"> Sentencia C-365-01. Magistrada Ponente: Dra. Clara Inés Vargas Hernández.</w:t>
      </w:r>
    </w:p>
  </w:footnote>
  <w:footnote w:id="5">
    <w:p w:rsidR="00932643" w:rsidRPr="00982CB9" w:rsidRDefault="00932643" w:rsidP="00A45C90">
      <w:pPr>
        <w:spacing w:before="100" w:beforeAutospacing="1" w:after="100" w:afterAutospacing="1" w:line="360" w:lineRule="auto"/>
        <w:ind w:left="150" w:right="150"/>
        <w:jc w:val="both"/>
        <w:rPr>
          <w:rFonts w:ascii="Arial Narrow" w:hAnsi="Arial Narrow"/>
          <w:sz w:val="24"/>
          <w:szCs w:val="24"/>
        </w:rPr>
      </w:pPr>
      <w:r>
        <w:rPr>
          <w:rStyle w:val="Refdenotaalpie"/>
        </w:rPr>
        <w:footnoteRef/>
      </w:r>
      <w:r>
        <w:t xml:space="preserve"> </w:t>
      </w:r>
      <w:r w:rsidRPr="00982CB9">
        <w:rPr>
          <w:rFonts w:ascii="Arial Narrow" w:hAnsi="Arial Narrow"/>
          <w:bCs/>
          <w:sz w:val="24"/>
          <w:szCs w:val="24"/>
          <w:lang w:val="es-ES"/>
        </w:rPr>
        <w:t>C</w:t>
      </w:r>
      <w:r w:rsidRPr="009D039A">
        <w:rPr>
          <w:rFonts w:ascii="Arial Narrow" w:hAnsi="Arial Narrow"/>
          <w:bCs/>
          <w:sz w:val="24"/>
          <w:szCs w:val="24"/>
          <w:lang w:val="es-ES"/>
        </w:rPr>
        <w:t xml:space="preserve">onsejo de Estado, Sección Tercera. Sentencia del 20 de mayo de 201p. C.P. Enrique José Arboleda Perdomo. </w:t>
      </w:r>
      <w:r w:rsidRPr="00982CB9">
        <w:rPr>
          <w:rFonts w:ascii="Arial Narrow" w:hAnsi="Arial Narrow"/>
          <w:bCs/>
          <w:sz w:val="24"/>
          <w:szCs w:val="24"/>
          <w:lang w:val="es-ES"/>
        </w:rPr>
        <w:t xml:space="preserve">Radicación </w:t>
      </w:r>
      <w:r w:rsidRPr="009D039A">
        <w:rPr>
          <w:rFonts w:ascii="Arial Narrow" w:hAnsi="Arial Narrow"/>
          <w:bCs/>
          <w:sz w:val="24"/>
          <w:szCs w:val="24"/>
          <w:lang w:val="es-ES"/>
        </w:rPr>
        <w:t>número</w:t>
      </w:r>
      <w:r w:rsidRPr="00982CB9">
        <w:rPr>
          <w:rFonts w:ascii="Arial Narrow" w:hAnsi="Arial Narrow"/>
          <w:bCs/>
          <w:sz w:val="24"/>
          <w:szCs w:val="24"/>
          <w:lang w:val="es-ES"/>
        </w:rPr>
        <w:t>: 11001-03-06-000-2010-00034-00(1992).</w:t>
      </w:r>
    </w:p>
    <w:p w:rsidR="00932643" w:rsidRPr="009D039A" w:rsidRDefault="00932643" w:rsidP="00A45C90">
      <w:pPr>
        <w:pStyle w:val="Textonotapie"/>
        <w:rPr>
          <w:lang w:val="es-MX"/>
        </w:rPr>
      </w:pPr>
    </w:p>
  </w:footnote>
  <w:footnote w:id="6">
    <w:p w:rsidR="00932643" w:rsidRPr="005E7E6C" w:rsidRDefault="00932643" w:rsidP="00A45C90">
      <w:pPr>
        <w:pStyle w:val="Textonotapie"/>
      </w:pPr>
      <w:r>
        <w:rPr>
          <w:rStyle w:val="Refdenotaalpie"/>
        </w:rPr>
        <w:footnoteRef/>
      </w:r>
      <w:r>
        <w:t xml:space="preserve"> Tomado de </w:t>
      </w:r>
      <w:r w:rsidRPr="005E7E6C">
        <w:t>http://dle.rae.es/?id=ZIkyMDs</w:t>
      </w:r>
    </w:p>
  </w:footnote>
  <w:footnote w:id="7">
    <w:p w:rsidR="00932643" w:rsidRPr="00033A3B" w:rsidRDefault="00932643" w:rsidP="00A45C90">
      <w:pPr>
        <w:pStyle w:val="Textonotapie"/>
        <w:rPr>
          <w:lang w:val="es-MX"/>
        </w:rPr>
      </w:pPr>
      <w:r>
        <w:rPr>
          <w:rStyle w:val="Refdenotaalpie"/>
        </w:rPr>
        <w:footnoteRef/>
      </w:r>
      <w:r>
        <w:t xml:space="preserve"> </w:t>
      </w:r>
      <w:r>
        <w:rPr>
          <w:lang w:val="es-MX"/>
        </w:rPr>
        <w:t xml:space="preserve">Tomado de </w:t>
      </w:r>
      <w:r w:rsidRPr="00033A3B">
        <w:rPr>
          <w:lang w:val="es-MX"/>
        </w:rPr>
        <w:t>https://definicion.de/tecnica/</w:t>
      </w:r>
    </w:p>
  </w:footnote>
  <w:footnote w:id="8">
    <w:p w:rsidR="00932643" w:rsidRPr="00382AF8" w:rsidRDefault="00932643" w:rsidP="003E566B">
      <w:pPr>
        <w:autoSpaceDE w:val="0"/>
        <w:autoSpaceDN w:val="0"/>
        <w:adjustRightInd w:val="0"/>
        <w:jc w:val="both"/>
        <w:rPr>
          <w:sz w:val="18"/>
          <w:szCs w:val="18"/>
        </w:rPr>
      </w:pPr>
      <w:r w:rsidRPr="00382AF8">
        <w:rPr>
          <w:rFonts w:eastAsia="Droid Sans"/>
          <w:color w:val="000000"/>
          <w:sz w:val="18"/>
          <w:szCs w:val="18"/>
        </w:rPr>
        <w:footnoteRef/>
      </w:r>
      <w:r w:rsidRPr="00382AF8">
        <w:rPr>
          <w:rFonts w:eastAsia="Droid Sans"/>
          <w:color w:val="000000"/>
          <w:sz w:val="18"/>
          <w:szCs w:val="18"/>
        </w:rPr>
        <w:t xml:space="preserve"> Al respecto confróntese la sentencia del 06 de abril de 2011. proferida por lo Subsección B de la Sección Tercera de la Sala de lo Contencioso Administrativo del Consejo de Estado. Consejero Ponente Dra. Stella Canto Díaz del Castillo. Radicado No. 25000- 23-26.000- 994-00404-01(14823).</w:t>
      </w:r>
    </w:p>
  </w:footnote>
  <w:footnote w:id="9">
    <w:p w:rsidR="00932643" w:rsidRPr="00382AF8" w:rsidRDefault="00932643" w:rsidP="003E566B">
      <w:pPr>
        <w:autoSpaceDE w:val="0"/>
        <w:autoSpaceDN w:val="0"/>
        <w:adjustRightInd w:val="0"/>
        <w:jc w:val="both"/>
        <w:rPr>
          <w:rFonts w:eastAsia="Droid Sans"/>
          <w:color w:val="000000"/>
          <w:sz w:val="18"/>
          <w:szCs w:val="18"/>
        </w:rPr>
      </w:pPr>
      <w:r w:rsidRPr="00382AF8">
        <w:rPr>
          <w:rStyle w:val="Refdenotaalpie"/>
          <w:sz w:val="18"/>
          <w:szCs w:val="18"/>
        </w:rPr>
        <w:footnoteRef/>
      </w:r>
      <w:r w:rsidRPr="00382AF8">
        <w:rPr>
          <w:sz w:val="18"/>
          <w:szCs w:val="18"/>
        </w:rPr>
        <w:t xml:space="preserve"> </w:t>
      </w:r>
      <w:r w:rsidRPr="00382AF8">
        <w:rPr>
          <w:rFonts w:eastAsia="Droid Sans"/>
          <w:color w:val="000000"/>
          <w:sz w:val="18"/>
          <w:szCs w:val="18"/>
        </w:rPr>
        <w:t>Al respecto confróntese la sentencia del16 de julio de 2008.proferida por la Sección Tercera de la Sala de lo Contencioso Administrativo del Consejo de Estado. C.P. Dr. Mauricio Fajardo Gómez. Radicado No. 25000-23-26-000-1996-02381- 02[23363).</w:t>
      </w:r>
    </w:p>
    <w:p w:rsidR="00932643" w:rsidRPr="00382AF8" w:rsidRDefault="00932643" w:rsidP="003E566B">
      <w:pPr>
        <w:pStyle w:val="Textonotapie"/>
        <w:rPr>
          <w:sz w:val="18"/>
          <w:szCs w:val="18"/>
        </w:rPr>
      </w:pPr>
    </w:p>
  </w:footnote>
  <w:footnote w:id="10">
    <w:p w:rsidR="00932643" w:rsidRPr="00382AF8" w:rsidRDefault="00932643" w:rsidP="003E566B">
      <w:pPr>
        <w:pStyle w:val="Textonotapie"/>
        <w:rPr>
          <w:sz w:val="18"/>
          <w:szCs w:val="18"/>
        </w:rPr>
      </w:pPr>
      <w:r w:rsidRPr="00382AF8">
        <w:rPr>
          <w:rStyle w:val="Refdenotaalpie"/>
          <w:sz w:val="18"/>
          <w:szCs w:val="18"/>
        </w:rPr>
        <w:footnoteRef/>
      </w:r>
      <w:r w:rsidRPr="00382AF8">
        <w:rPr>
          <w:sz w:val="18"/>
          <w:szCs w:val="18"/>
        </w:rPr>
        <w:t xml:space="preserve"> Ver link actualidad contractual, Información Contractual – Dirección de Contratación- Entidad, en la página web de la Secretaría Distrital de Gobierno.</w:t>
      </w:r>
    </w:p>
  </w:footnote>
  <w:footnote w:id="11">
    <w:p w:rsidR="00932643" w:rsidRPr="00382AF8" w:rsidRDefault="00932643" w:rsidP="003E566B">
      <w:pPr>
        <w:autoSpaceDE w:val="0"/>
        <w:autoSpaceDN w:val="0"/>
        <w:adjustRightInd w:val="0"/>
        <w:jc w:val="both"/>
        <w:rPr>
          <w:sz w:val="18"/>
          <w:szCs w:val="18"/>
        </w:rPr>
      </w:pPr>
      <w:r w:rsidRPr="00382AF8">
        <w:rPr>
          <w:rStyle w:val="Refdenotaalpie"/>
          <w:sz w:val="18"/>
          <w:szCs w:val="18"/>
        </w:rPr>
        <w:footnoteRef/>
      </w:r>
      <w:r w:rsidRPr="00382AF8">
        <w:rPr>
          <w:sz w:val="18"/>
          <w:szCs w:val="18"/>
        </w:rPr>
        <w:t xml:space="preserve"> </w:t>
      </w:r>
      <w:r w:rsidRPr="00382AF8">
        <w:rPr>
          <w:rFonts w:eastAsia="Droid Sans"/>
          <w:color w:val="000000"/>
          <w:sz w:val="18"/>
          <w:szCs w:val="18"/>
        </w:rPr>
        <w:t>3 C</w:t>
      </w:r>
      <w:r w:rsidRPr="00382AF8">
        <w:rPr>
          <w:rFonts w:eastAsia="Droid Sans"/>
          <w:bCs/>
          <w:color w:val="000000"/>
          <w:sz w:val="18"/>
          <w:szCs w:val="18"/>
        </w:rPr>
        <w:t xml:space="preserve">oncepto jurídico rendido por la sociedad Martin Bermúdez Asociados S.A., el día 05 de septiembre de 2017. </w:t>
      </w:r>
    </w:p>
  </w:footnote>
  <w:footnote w:id="12">
    <w:p w:rsidR="00932643" w:rsidRPr="00382AF8" w:rsidRDefault="00932643" w:rsidP="003E566B">
      <w:pPr>
        <w:pStyle w:val="Textonotapie"/>
        <w:rPr>
          <w:sz w:val="18"/>
          <w:szCs w:val="18"/>
        </w:rPr>
      </w:pPr>
      <w:r w:rsidRPr="00382AF8">
        <w:rPr>
          <w:rStyle w:val="Refdenotaalpie"/>
          <w:sz w:val="18"/>
          <w:szCs w:val="18"/>
        </w:rPr>
        <w:footnoteRef/>
      </w:r>
      <w:r w:rsidRPr="00382AF8">
        <w:rPr>
          <w:sz w:val="18"/>
          <w:szCs w:val="18"/>
        </w:rPr>
        <w:t xml:space="preserve"> Consultar sistema Orfeo SDG, Radicado No. 20174500385463 de fecha 8 de septiembre de 2017.</w:t>
      </w:r>
    </w:p>
  </w:footnote>
  <w:footnote w:id="13">
    <w:p w:rsidR="00932643" w:rsidRPr="00382AF8" w:rsidRDefault="00932643" w:rsidP="003E566B">
      <w:pPr>
        <w:pStyle w:val="normal1"/>
        <w:shd w:val="clear" w:color="auto" w:fill="FFFFFF"/>
        <w:spacing w:before="0" w:beforeAutospacing="0" w:after="0" w:afterAutospacing="0"/>
        <w:jc w:val="both"/>
        <w:rPr>
          <w:sz w:val="18"/>
          <w:szCs w:val="18"/>
        </w:rPr>
      </w:pPr>
      <w:r w:rsidRPr="00382AF8">
        <w:rPr>
          <w:rStyle w:val="Refdenotaalpie"/>
          <w:sz w:val="18"/>
          <w:szCs w:val="18"/>
        </w:rPr>
        <w:footnoteRef/>
      </w:r>
      <w:r w:rsidRPr="00382AF8">
        <w:rPr>
          <w:sz w:val="18"/>
          <w:szCs w:val="18"/>
        </w:rPr>
        <w:t xml:space="preserve"> Ver Guía para la liquidación de los Procesos de Contratación, Colombia Compra Eficiente y Directiva No. 001 de 18 de enero de 2018 emitida por la Secretaría Jurídica Distrital, contentiva de los Lineamientos y Buenas Prácticas para la Liquidación de Contratos, Radicado 2-2018-660, cuyo objeto es brindar herramientas normativas y conceptuales, para que sean tenidas en cuenta por las entidades distritales, contribuyendo al adecuado desarrollo integral de la actividad contractual.</w:t>
      </w:r>
    </w:p>
    <w:p w:rsidR="00932643" w:rsidRPr="00382AF8" w:rsidRDefault="00932643" w:rsidP="003E566B">
      <w:pPr>
        <w:pStyle w:val="normal1"/>
        <w:shd w:val="clear" w:color="auto" w:fill="FFFFFF"/>
        <w:spacing w:before="0" w:beforeAutospacing="0" w:after="0" w:afterAutospacing="0"/>
        <w:jc w:val="both"/>
        <w:rPr>
          <w:color w:val="000000"/>
          <w:sz w:val="18"/>
          <w:szCs w:val="18"/>
        </w:rPr>
      </w:pPr>
      <w:r w:rsidRPr="00382AF8">
        <w:rPr>
          <w:color w:val="000000"/>
          <w:sz w:val="18"/>
          <w:szCs w:val="18"/>
          <w:lang w:val="es-ES_tradnl"/>
        </w:rPr>
        <w:t> </w:t>
      </w:r>
    </w:p>
    <w:p w:rsidR="00932643" w:rsidRPr="00382AF8" w:rsidRDefault="00932643" w:rsidP="003E566B">
      <w:pPr>
        <w:pStyle w:val="Textonotapie"/>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8218B"/>
    <w:multiLevelType w:val="hybridMultilevel"/>
    <w:tmpl w:val="ED765508"/>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 w15:restartNumberingAfterBreak="0">
    <w:nsid w:val="48291536"/>
    <w:multiLevelType w:val="hybridMultilevel"/>
    <w:tmpl w:val="D67CF3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7166BFC"/>
    <w:multiLevelType w:val="hybridMultilevel"/>
    <w:tmpl w:val="568007FC"/>
    <w:lvl w:ilvl="0" w:tplc="58202AB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67"/>
    <w:rsid w:val="00001035"/>
    <w:rsid w:val="000023B9"/>
    <w:rsid w:val="000049BE"/>
    <w:rsid w:val="0001092B"/>
    <w:rsid w:val="00010B7C"/>
    <w:rsid w:val="00010F3E"/>
    <w:rsid w:val="0002037C"/>
    <w:rsid w:val="00024070"/>
    <w:rsid w:val="000256FE"/>
    <w:rsid w:val="00027B55"/>
    <w:rsid w:val="000300E3"/>
    <w:rsid w:val="000347BD"/>
    <w:rsid w:val="00035184"/>
    <w:rsid w:val="00042A7C"/>
    <w:rsid w:val="0005143D"/>
    <w:rsid w:val="00053AC8"/>
    <w:rsid w:val="000578E2"/>
    <w:rsid w:val="00057B3F"/>
    <w:rsid w:val="00060390"/>
    <w:rsid w:val="0006039C"/>
    <w:rsid w:val="00064745"/>
    <w:rsid w:val="00064965"/>
    <w:rsid w:val="00066E26"/>
    <w:rsid w:val="00067E78"/>
    <w:rsid w:val="0007017E"/>
    <w:rsid w:val="00071286"/>
    <w:rsid w:val="00071382"/>
    <w:rsid w:val="00071A32"/>
    <w:rsid w:val="00071F5B"/>
    <w:rsid w:val="00072A35"/>
    <w:rsid w:val="00073085"/>
    <w:rsid w:val="00073F82"/>
    <w:rsid w:val="000749CC"/>
    <w:rsid w:val="0007510E"/>
    <w:rsid w:val="00076B34"/>
    <w:rsid w:val="0007765E"/>
    <w:rsid w:val="000805C6"/>
    <w:rsid w:val="00081B50"/>
    <w:rsid w:val="00085724"/>
    <w:rsid w:val="000902B9"/>
    <w:rsid w:val="00096A2D"/>
    <w:rsid w:val="00096D6C"/>
    <w:rsid w:val="000A2678"/>
    <w:rsid w:val="000A28C2"/>
    <w:rsid w:val="000A52EB"/>
    <w:rsid w:val="000B5AF8"/>
    <w:rsid w:val="000B696D"/>
    <w:rsid w:val="000B79CB"/>
    <w:rsid w:val="000B7F64"/>
    <w:rsid w:val="000C01AF"/>
    <w:rsid w:val="000C1C5B"/>
    <w:rsid w:val="000C3A32"/>
    <w:rsid w:val="000C744A"/>
    <w:rsid w:val="000D0AE8"/>
    <w:rsid w:val="000D168A"/>
    <w:rsid w:val="000D21CD"/>
    <w:rsid w:val="000D2615"/>
    <w:rsid w:val="000D2C2C"/>
    <w:rsid w:val="000D314F"/>
    <w:rsid w:val="000D5353"/>
    <w:rsid w:val="000E0E95"/>
    <w:rsid w:val="000E1C1B"/>
    <w:rsid w:val="000E21D5"/>
    <w:rsid w:val="000E4D1D"/>
    <w:rsid w:val="000E6CBC"/>
    <w:rsid w:val="000F07DF"/>
    <w:rsid w:val="000F41B0"/>
    <w:rsid w:val="000F7CD8"/>
    <w:rsid w:val="001011B8"/>
    <w:rsid w:val="001051E6"/>
    <w:rsid w:val="00110442"/>
    <w:rsid w:val="00113256"/>
    <w:rsid w:val="00114DD5"/>
    <w:rsid w:val="00115DBD"/>
    <w:rsid w:val="0012195B"/>
    <w:rsid w:val="00123DC6"/>
    <w:rsid w:val="00124A97"/>
    <w:rsid w:val="00124DDA"/>
    <w:rsid w:val="00127253"/>
    <w:rsid w:val="00127357"/>
    <w:rsid w:val="00127BE7"/>
    <w:rsid w:val="0013266D"/>
    <w:rsid w:val="00133992"/>
    <w:rsid w:val="001344E0"/>
    <w:rsid w:val="00134D2D"/>
    <w:rsid w:val="00134D58"/>
    <w:rsid w:val="0014134C"/>
    <w:rsid w:val="00142097"/>
    <w:rsid w:val="00147E17"/>
    <w:rsid w:val="00150AF7"/>
    <w:rsid w:val="001514E8"/>
    <w:rsid w:val="00151500"/>
    <w:rsid w:val="001554E9"/>
    <w:rsid w:val="00156C56"/>
    <w:rsid w:val="00160305"/>
    <w:rsid w:val="00164705"/>
    <w:rsid w:val="001652D1"/>
    <w:rsid w:val="001668AB"/>
    <w:rsid w:val="00166FB5"/>
    <w:rsid w:val="00170B18"/>
    <w:rsid w:val="001749EE"/>
    <w:rsid w:val="00175109"/>
    <w:rsid w:val="00175B1B"/>
    <w:rsid w:val="00176A25"/>
    <w:rsid w:val="001834D7"/>
    <w:rsid w:val="0018434C"/>
    <w:rsid w:val="001852C5"/>
    <w:rsid w:val="001873BE"/>
    <w:rsid w:val="00190BB2"/>
    <w:rsid w:val="00191519"/>
    <w:rsid w:val="00191B85"/>
    <w:rsid w:val="00191C9A"/>
    <w:rsid w:val="001922CB"/>
    <w:rsid w:val="001934C0"/>
    <w:rsid w:val="001965D7"/>
    <w:rsid w:val="00196865"/>
    <w:rsid w:val="001971D9"/>
    <w:rsid w:val="001A0531"/>
    <w:rsid w:val="001A0E6C"/>
    <w:rsid w:val="001A18D9"/>
    <w:rsid w:val="001A3536"/>
    <w:rsid w:val="001A6628"/>
    <w:rsid w:val="001A6DDA"/>
    <w:rsid w:val="001A6F6C"/>
    <w:rsid w:val="001B2841"/>
    <w:rsid w:val="001B28F5"/>
    <w:rsid w:val="001B6213"/>
    <w:rsid w:val="001B6760"/>
    <w:rsid w:val="001B6BC1"/>
    <w:rsid w:val="001B7C23"/>
    <w:rsid w:val="001C012C"/>
    <w:rsid w:val="001C2A49"/>
    <w:rsid w:val="001C372D"/>
    <w:rsid w:val="001C4814"/>
    <w:rsid w:val="001C48D9"/>
    <w:rsid w:val="001C75E4"/>
    <w:rsid w:val="001D01A2"/>
    <w:rsid w:val="001D1BA8"/>
    <w:rsid w:val="001D38BE"/>
    <w:rsid w:val="001D5525"/>
    <w:rsid w:val="001D5701"/>
    <w:rsid w:val="001D7141"/>
    <w:rsid w:val="001D717B"/>
    <w:rsid w:val="001D7F52"/>
    <w:rsid w:val="001E0015"/>
    <w:rsid w:val="001E0DD7"/>
    <w:rsid w:val="001E2AB9"/>
    <w:rsid w:val="001E507E"/>
    <w:rsid w:val="001E548C"/>
    <w:rsid w:val="001E787A"/>
    <w:rsid w:val="001F134F"/>
    <w:rsid w:val="001F2F16"/>
    <w:rsid w:val="001F35E0"/>
    <w:rsid w:val="001F3C0D"/>
    <w:rsid w:val="00200924"/>
    <w:rsid w:val="00202D46"/>
    <w:rsid w:val="002046D7"/>
    <w:rsid w:val="002077E7"/>
    <w:rsid w:val="0021116E"/>
    <w:rsid w:val="00213BCD"/>
    <w:rsid w:val="00214D86"/>
    <w:rsid w:val="00220C02"/>
    <w:rsid w:val="00221F92"/>
    <w:rsid w:val="002235D5"/>
    <w:rsid w:val="0022480C"/>
    <w:rsid w:val="00230088"/>
    <w:rsid w:val="0023056A"/>
    <w:rsid w:val="002330C4"/>
    <w:rsid w:val="00234A63"/>
    <w:rsid w:val="002352C4"/>
    <w:rsid w:val="00236FE1"/>
    <w:rsid w:val="00237D95"/>
    <w:rsid w:val="00237F79"/>
    <w:rsid w:val="00241D13"/>
    <w:rsid w:val="00245EBF"/>
    <w:rsid w:val="00253915"/>
    <w:rsid w:val="0025425E"/>
    <w:rsid w:val="002543CB"/>
    <w:rsid w:val="00256131"/>
    <w:rsid w:val="00257E0C"/>
    <w:rsid w:val="00260125"/>
    <w:rsid w:val="0026173A"/>
    <w:rsid w:val="002625D5"/>
    <w:rsid w:val="002627C5"/>
    <w:rsid w:val="00263617"/>
    <w:rsid w:val="00263B9B"/>
    <w:rsid w:val="00273020"/>
    <w:rsid w:val="00274DDF"/>
    <w:rsid w:val="00277FA6"/>
    <w:rsid w:val="00281BDE"/>
    <w:rsid w:val="00283EF8"/>
    <w:rsid w:val="002933A8"/>
    <w:rsid w:val="002954FB"/>
    <w:rsid w:val="00295747"/>
    <w:rsid w:val="00295841"/>
    <w:rsid w:val="0029696B"/>
    <w:rsid w:val="002A0ABC"/>
    <w:rsid w:val="002A0DA1"/>
    <w:rsid w:val="002A4874"/>
    <w:rsid w:val="002A5157"/>
    <w:rsid w:val="002A5A0C"/>
    <w:rsid w:val="002A7B4F"/>
    <w:rsid w:val="002A7FDB"/>
    <w:rsid w:val="002B1758"/>
    <w:rsid w:val="002B25AA"/>
    <w:rsid w:val="002B4488"/>
    <w:rsid w:val="002B5BB4"/>
    <w:rsid w:val="002B6B6D"/>
    <w:rsid w:val="002B794E"/>
    <w:rsid w:val="002C0119"/>
    <w:rsid w:val="002C2EF1"/>
    <w:rsid w:val="002C5D48"/>
    <w:rsid w:val="002C6F14"/>
    <w:rsid w:val="002D03F5"/>
    <w:rsid w:val="002D13C5"/>
    <w:rsid w:val="002D2144"/>
    <w:rsid w:val="002D3912"/>
    <w:rsid w:val="002D3F1D"/>
    <w:rsid w:val="002D4EB4"/>
    <w:rsid w:val="002D574B"/>
    <w:rsid w:val="002E396B"/>
    <w:rsid w:val="002E5A96"/>
    <w:rsid w:val="002E64DB"/>
    <w:rsid w:val="002F2B00"/>
    <w:rsid w:val="00305705"/>
    <w:rsid w:val="0030605A"/>
    <w:rsid w:val="0030788C"/>
    <w:rsid w:val="00311356"/>
    <w:rsid w:val="00312514"/>
    <w:rsid w:val="003130D3"/>
    <w:rsid w:val="00314819"/>
    <w:rsid w:val="0031571F"/>
    <w:rsid w:val="003171CE"/>
    <w:rsid w:val="003174E7"/>
    <w:rsid w:val="00317978"/>
    <w:rsid w:val="003179C4"/>
    <w:rsid w:val="00321380"/>
    <w:rsid w:val="0032278D"/>
    <w:rsid w:val="003244F1"/>
    <w:rsid w:val="003265D2"/>
    <w:rsid w:val="00326F16"/>
    <w:rsid w:val="00337003"/>
    <w:rsid w:val="00341ACD"/>
    <w:rsid w:val="00341F73"/>
    <w:rsid w:val="00344334"/>
    <w:rsid w:val="003466EC"/>
    <w:rsid w:val="003524BA"/>
    <w:rsid w:val="0035253B"/>
    <w:rsid w:val="00353001"/>
    <w:rsid w:val="003536C1"/>
    <w:rsid w:val="00353F08"/>
    <w:rsid w:val="0035656C"/>
    <w:rsid w:val="003569B1"/>
    <w:rsid w:val="00360846"/>
    <w:rsid w:val="0036087D"/>
    <w:rsid w:val="003610A6"/>
    <w:rsid w:val="00361B94"/>
    <w:rsid w:val="00361D23"/>
    <w:rsid w:val="00365479"/>
    <w:rsid w:val="003657D2"/>
    <w:rsid w:val="00366C46"/>
    <w:rsid w:val="00367305"/>
    <w:rsid w:val="003674EC"/>
    <w:rsid w:val="003678A7"/>
    <w:rsid w:val="003743A9"/>
    <w:rsid w:val="00374F31"/>
    <w:rsid w:val="0037643F"/>
    <w:rsid w:val="00377FE5"/>
    <w:rsid w:val="0038001F"/>
    <w:rsid w:val="00381579"/>
    <w:rsid w:val="003825AD"/>
    <w:rsid w:val="00383830"/>
    <w:rsid w:val="003848EB"/>
    <w:rsid w:val="00384C02"/>
    <w:rsid w:val="0038720F"/>
    <w:rsid w:val="00387F74"/>
    <w:rsid w:val="003907A8"/>
    <w:rsid w:val="00391020"/>
    <w:rsid w:val="0039108E"/>
    <w:rsid w:val="00394708"/>
    <w:rsid w:val="0039789F"/>
    <w:rsid w:val="003A0F95"/>
    <w:rsid w:val="003A105A"/>
    <w:rsid w:val="003A2861"/>
    <w:rsid w:val="003A340E"/>
    <w:rsid w:val="003A7AE3"/>
    <w:rsid w:val="003B00BA"/>
    <w:rsid w:val="003B0295"/>
    <w:rsid w:val="003B1272"/>
    <w:rsid w:val="003B306E"/>
    <w:rsid w:val="003B3F29"/>
    <w:rsid w:val="003B4121"/>
    <w:rsid w:val="003B47BB"/>
    <w:rsid w:val="003C129D"/>
    <w:rsid w:val="003C3A55"/>
    <w:rsid w:val="003C6909"/>
    <w:rsid w:val="003D0CBF"/>
    <w:rsid w:val="003D2476"/>
    <w:rsid w:val="003D37C3"/>
    <w:rsid w:val="003D3877"/>
    <w:rsid w:val="003D4776"/>
    <w:rsid w:val="003E0D55"/>
    <w:rsid w:val="003E4665"/>
    <w:rsid w:val="003E566B"/>
    <w:rsid w:val="003F029D"/>
    <w:rsid w:val="003F2D16"/>
    <w:rsid w:val="003F3306"/>
    <w:rsid w:val="003F64BC"/>
    <w:rsid w:val="00400197"/>
    <w:rsid w:val="00406071"/>
    <w:rsid w:val="00407670"/>
    <w:rsid w:val="004105DE"/>
    <w:rsid w:val="0041091D"/>
    <w:rsid w:val="00413E26"/>
    <w:rsid w:val="00417A7A"/>
    <w:rsid w:val="00422872"/>
    <w:rsid w:val="00423575"/>
    <w:rsid w:val="00425703"/>
    <w:rsid w:val="004266FE"/>
    <w:rsid w:val="004274EA"/>
    <w:rsid w:val="00431982"/>
    <w:rsid w:val="004346C7"/>
    <w:rsid w:val="00440D6D"/>
    <w:rsid w:val="004412AE"/>
    <w:rsid w:val="00446798"/>
    <w:rsid w:val="00446BA6"/>
    <w:rsid w:val="0045157A"/>
    <w:rsid w:val="00452780"/>
    <w:rsid w:val="00456F43"/>
    <w:rsid w:val="0046056A"/>
    <w:rsid w:val="0046227A"/>
    <w:rsid w:val="004629FC"/>
    <w:rsid w:val="00462E47"/>
    <w:rsid w:val="00462E84"/>
    <w:rsid w:val="00465E5C"/>
    <w:rsid w:val="00467B27"/>
    <w:rsid w:val="0047095D"/>
    <w:rsid w:val="004733CF"/>
    <w:rsid w:val="0047352E"/>
    <w:rsid w:val="004735F7"/>
    <w:rsid w:val="00474375"/>
    <w:rsid w:val="00475D79"/>
    <w:rsid w:val="00477D21"/>
    <w:rsid w:val="00483ECD"/>
    <w:rsid w:val="00485CC5"/>
    <w:rsid w:val="0048697D"/>
    <w:rsid w:val="00486E90"/>
    <w:rsid w:val="00487DFE"/>
    <w:rsid w:val="00490006"/>
    <w:rsid w:val="00492755"/>
    <w:rsid w:val="004977F3"/>
    <w:rsid w:val="004A0C85"/>
    <w:rsid w:val="004A1176"/>
    <w:rsid w:val="004A277A"/>
    <w:rsid w:val="004A28A7"/>
    <w:rsid w:val="004A7DFC"/>
    <w:rsid w:val="004B078C"/>
    <w:rsid w:val="004B07F2"/>
    <w:rsid w:val="004B1FBC"/>
    <w:rsid w:val="004B52C4"/>
    <w:rsid w:val="004B563D"/>
    <w:rsid w:val="004B6538"/>
    <w:rsid w:val="004C1870"/>
    <w:rsid w:val="004C1FC1"/>
    <w:rsid w:val="004C2EBC"/>
    <w:rsid w:val="004C3EDA"/>
    <w:rsid w:val="004C6A0D"/>
    <w:rsid w:val="004C7F65"/>
    <w:rsid w:val="004D1C67"/>
    <w:rsid w:val="004D3771"/>
    <w:rsid w:val="004D438E"/>
    <w:rsid w:val="004D6980"/>
    <w:rsid w:val="004D6A3E"/>
    <w:rsid w:val="004E137F"/>
    <w:rsid w:val="004E2F3A"/>
    <w:rsid w:val="004E3C1A"/>
    <w:rsid w:val="004E41D0"/>
    <w:rsid w:val="004E473B"/>
    <w:rsid w:val="004E567C"/>
    <w:rsid w:val="004E5899"/>
    <w:rsid w:val="004E614B"/>
    <w:rsid w:val="004F2109"/>
    <w:rsid w:val="004F21F6"/>
    <w:rsid w:val="004F6395"/>
    <w:rsid w:val="0050008B"/>
    <w:rsid w:val="00500813"/>
    <w:rsid w:val="00502545"/>
    <w:rsid w:val="00502913"/>
    <w:rsid w:val="0050449B"/>
    <w:rsid w:val="0050517D"/>
    <w:rsid w:val="00511DAF"/>
    <w:rsid w:val="00515925"/>
    <w:rsid w:val="0052113D"/>
    <w:rsid w:val="00524DF3"/>
    <w:rsid w:val="005272A8"/>
    <w:rsid w:val="00527486"/>
    <w:rsid w:val="0053506E"/>
    <w:rsid w:val="00535354"/>
    <w:rsid w:val="00535CE6"/>
    <w:rsid w:val="00536ABB"/>
    <w:rsid w:val="00536FE3"/>
    <w:rsid w:val="00537276"/>
    <w:rsid w:val="005440A7"/>
    <w:rsid w:val="00545818"/>
    <w:rsid w:val="00550115"/>
    <w:rsid w:val="00555720"/>
    <w:rsid w:val="00557329"/>
    <w:rsid w:val="005579E9"/>
    <w:rsid w:val="005605F2"/>
    <w:rsid w:val="005646A2"/>
    <w:rsid w:val="00564D68"/>
    <w:rsid w:val="005663BC"/>
    <w:rsid w:val="0057385C"/>
    <w:rsid w:val="00575FCF"/>
    <w:rsid w:val="005819E2"/>
    <w:rsid w:val="005831EB"/>
    <w:rsid w:val="00583E24"/>
    <w:rsid w:val="0058775D"/>
    <w:rsid w:val="00590164"/>
    <w:rsid w:val="00590AC6"/>
    <w:rsid w:val="00591404"/>
    <w:rsid w:val="00593591"/>
    <w:rsid w:val="00594768"/>
    <w:rsid w:val="00596F6F"/>
    <w:rsid w:val="00597704"/>
    <w:rsid w:val="005978E2"/>
    <w:rsid w:val="005A5C1F"/>
    <w:rsid w:val="005A62C3"/>
    <w:rsid w:val="005A66D1"/>
    <w:rsid w:val="005B38DD"/>
    <w:rsid w:val="005B3A6F"/>
    <w:rsid w:val="005B3EDC"/>
    <w:rsid w:val="005B6D22"/>
    <w:rsid w:val="005B7E4D"/>
    <w:rsid w:val="005C1283"/>
    <w:rsid w:val="005C2540"/>
    <w:rsid w:val="005C6A53"/>
    <w:rsid w:val="005D18AE"/>
    <w:rsid w:val="005D6853"/>
    <w:rsid w:val="005D7BE6"/>
    <w:rsid w:val="005E0080"/>
    <w:rsid w:val="005E4E11"/>
    <w:rsid w:val="005E5276"/>
    <w:rsid w:val="005F020E"/>
    <w:rsid w:val="005F0433"/>
    <w:rsid w:val="005F6C07"/>
    <w:rsid w:val="00601C77"/>
    <w:rsid w:val="00603A98"/>
    <w:rsid w:val="006048BE"/>
    <w:rsid w:val="0061197F"/>
    <w:rsid w:val="00611D8D"/>
    <w:rsid w:val="0061736A"/>
    <w:rsid w:val="006215CB"/>
    <w:rsid w:val="00622CD4"/>
    <w:rsid w:val="00623511"/>
    <w:rsid w:val="00631B31"/>
    <w:rsid w:val="00637607"/>
    <w:rsid w:val="006429B8"/>
    <w:rsid w:val="00643C4A"/>
    <w:rsid w:val="006447D4"/>
    <w:rsid w:val="00645882"/>
    <w:rsid w:val="0065127F"/>
    <w:rsid w:val="006512F4"/>
    <w:rsid w:val="00651871"/>
    <w:rsid w:val="006518F4"/>
    <w:rsid w:val="00651FD7"/>
    <w:rsid w:val="00653047"/>
    <w:rsid w:val="00665FDA"/>
    <w:rsid w:val="00671B0F"/>
    <w:rsid w:val="00672FAC"/>
    <w:rsid w:val="006771F8"/>
    <w:rsid w:val="00680723"/>
    <w:rsid w:val="006840C1"/>
    <w:rsid w:val="006859E4"/>
    <w:rsid w:val="006874C1"/>
    <w:rsid w:val="0068768B"/>
    <w:rsid w:val="00691C00"/>
    <w:rsid w:val="00693B79"/>
    <w:rsid w:val="00695801"/>
    <w:rsid w:val="006A08A5"/>
    <w:rsid w:val="006A09CF"/>
    <w:rsid w:val="006A11AB"/>
    <w:rsid w:val="006A2553"/>
    <w:rsid w:val="006A3FAA"/>
    <w:rsid w:val="006A4E81"/>
    <w:rsid w:val="006A61A4"/>
    <w:rsid w:val="006A7AF7"/>
    <w:rsid w:val="006A7F82"/>
    <w:rsid w:val="006B182D"/>
    <w:rsid w:val="006B5D2D"/>
    <w:rsid w:val="006B6B8A"/>
    <w:rsid w:val="006B73EC"/>
    <w:rsid w:val="006C1495"/>
    <w:rsid w:val="006C195B"/>
    <w:rsid w:val="006C202D"/>
    <w:rsid w:val="006C2177"/>
    <w:rsid w:val="006C441F"/>
    <w:rsid w:val="006C4502"/>
    <w:rsid w:val="006C7D6E"/>
    <w:rsid w:val="006D109F"/>
    <w:rsid w:val="006D1734"/>
    <w:rsid w:val="006D1AA2"/>
    <w:rsid w:val="006D23F5"/>
    <w:rsid w:val="006D28C3"/>
    <w:rsid w:val="006D4539"/>
    <w:rsid w:val="006D537D"/>
    <w:rsid w:val="006D70A8"/>
    <w:rsid w:val="006D7A20"/>
    <w:rsid w:val="006F5C3C"/>
    <w:rsid w:val="006F6FED"/>
    <w:rsid w:val="00707AC5"/>
    <w:rsid w:val="00710729"/>
    <w:rsid w:val="00711D18"/>
    <w:rsid w:val="00722198"/>
    <w:rsid w:val="0072242E"/>
    <w:rsid w:val="00723ED5"/>
    <w:rsid w:val="007254E9"/>
    <w:rsid w:val="00725DD3"/>
    <w:rsid w:val="007324CB"/>
    <w:rsid w:val="00732789"/>
    <w:rsid w:val="00732F0A"/>
    <w:rsid w:val="007351C7"/>
    <w:rsid w:val="007428B3"/>
    <w:rsid w:val="00742F50"/>
    <w:rsid w:val="007434AF"/>
    <w:rsid w:val="00745669"/>
    <w:rsid w:val="007508A7"/>
    <w:rsid w:val="00751F42"/>
    <w:rsid w:val="00754342"/>
    <w:rsid w:val="00754F0F"/>
    <w:rsid w:val="007550B8"/>
    <w:rsid w:val="00756CCE"/>
    <w:rsid w:val="00766133"/>
    <w:rsid w:val="007669CD"/>
    <w:rsid w:val="00767073"/>
    <w:rsid w:val="00767CEB"/>
    <w:rsid w:val="007821D5"/>
    <w:rsid w:val="007915A3"/>
    <w:rsid w:val="0079497F"/>
    <w:rsid w:val="0079551E"/>
    <w:rsid w:val="007973F0"/>
    <w:rsid w:val="007A02FF"/>
    <w:rsid w:val="007A2755"/>
    <w:rsid w:val="007A3710"/>
    <w:rsid w:val="007A530D"/>
    <w:rsid w:val="007B13FA"/>
    <w:rsid w:val="007B2703"/>
    <w:rsid w:val="007B2ED5"/>
    <w:rsid w:val="007B59C7"/>
    <w:rsid w:val="007B6DEC"/>
    <w:rsid w:val="007C0298"/>
    <w:rsid w:val="007C0A9D"/>
    <w:rsid w:val="007C0C5E"/>
    <w:rsid w:val="007C10EC"/>
    <w:rsid w:val="007C6632"/>
    <w:rsid w:val="007C6911"/>
    <w:rsid w:val="007D1C59"/>
    <w:rsid w:val="007D2A0A"/>
    <w:rsid w:val="007D3081"/>
    <w:rsid w:val="007D68C9"/>
    <w:rsid w:val="007E1F2B"/>
    <w:rsid w:val="007E42A4"/>
    <w:rsid w:val="007E545E"/>
    <w:rsid w:val="007E567F"/>
    <w:rsid w:val="007F0153"/>
    <w:rsid w:val="007F1A34"/>
    <w:rsid w:val="007F24B1"/>
    <w:rsid w:val="007F41B7"/>
    <w:rsid w:val="007F4F91"/>
    <w:rsid w:val="00804571"/>
    <w:rsid w:val="0080483A"/>
    <w:rsid w:val="00804E1B"/>
    <w:rsid w:val="008069E3"/>
    <w:rsid w:val="00811D23"/>
    <w:rsid w:val="00812A84"/>
    <w:rsid w:val="00816E75"/>
    <w:rsid w:val="008234B5"/>
    <w:rsid w:val="00824B62"/>
    <w:rsid w:val="008262AE"/>
    <w:rsid w:val="00835365"/>
    <w:rsid w:val="00841887"/>
    <w:rsid w:val="008421F2"/>
    <w:rsid w:val="0084268F"/>
    <w:rsid w:val="00845B31"/>
    <w:rsid w:val="00845C8F"/>
    <w:rsid w:val="00850F2D"/>
    <w:rsid w:val="0085630B"/>
    <w:rsid w:val="008564AD"/>
    <w:rsid w:val="00861627"/>
    <w:rsid w:val="00863EAC"/>
    <w:rsid w:val="0087272B"/>
    <w:rsid w:val="00872D8E"/>
    <w:rsid w:val="00875178"/>
    <w:rsid w:val="008752EB"/>
    <w:rsid w:val="00876391"/>
    <w:rsid w:val="008774D4"/>
    <w:rsid w:val="00880025"/>
    <w:rsid w:val="0088201D"/>
    <w:rsid w:val="00883528"/>
    <w:rsid w:val="00891926"/>
    <w:rsid w:val="00892FB4"/>
    <w:rsid w:val="00897175"/>
    <w:rsid w:val="008A02A4"/>
    <w:rsid w:val="008A5455"/>
    <w:rsid w:val="008A77D5"/>
    <w:rsid w:val="008B0B8E"/>
    <w:rsid w:val="008B23C4"/>
    <w:rsid w:val="008B584D"/>
    <w:rsid w:val="008B6038"/>
    <w:rsid w:val="008B6A27"/>
    <w:rsid w:val="008B7F37"/>
    <w:rsid w:val="008C4A2C"/>
    <w:rsid w:val="008D0AB4"/>
    <w:rsid w:val="008D344A"/>
    <w:rsid w:val="008D664E"/>
    <w:rsid w:val="008D73AE"/>
    <w:rsid w:val="008E4567"/>
    <w:rsid w:val="008E5459"/>
    <w:rsid w:val="008E675B"/>
    <w:rsid w:val="008E7D21"/>
    <w:rsid w:val="008F06C6"/>
    <w:rsid w:val="008F12EC"/>
    <w:rsid w:val="008F2B9D"/>
    <w:rsid w:val="008F3B0F"/>
    <w:rsid w:val="008F3CE0"/>
    <w:rsid w:val="008F64B1"/>
    <w:rsid w:val="00902A28"/>
    <w:rsid w:val="00902F63"/>
    <w:rsid w:val="0090506A"/>
    <w:rsid w:val="009071FB"/>
    <w:rsid w:val="009145AE"/>
    <w:rsid w:val="00914831"/>
    <w:rsid w:val="00914C27"/>
    <w:rsid w:val="0091532D"/>
    <w:rsid w:val="009211CF"/>
    <w:rsid w:val="009223C8"/>
    <w:rsid w:val="00922D42"/>
    <w:rsid w:val="0092435B"/>
    <w:rsid w:val="00924863"/>
    <w:rsid w:val="00924F95"/>
    <w:rsid w:val="00930E05"/>
    <w:rsid w:val="00932643"/>
    <w:rsid w:val="0093376A"/>
    <w:rsid w:val="00933D57"/>
    <w:rsid w:val="00934F65"/>
    <w:rsid w:val="00936D09"/>
    <w:rsid w:val="00943BE1"/>
    <w:rsid w:val="009467EB"/>
    <w:rsid w:val="00954CD1"/>
    <w:rsid w:val="009558AF"/>
    <w:rsid w:val="00955DD7"/>
    <w:rsid w:val="0095694F"/>
    <w:rsid w:val="009617BB"/>
    <w:rsid w:val="00963651"/>
    <w:rsid w:val="00963EA9"/>
    <w:rsid w:val="0097368A"/>
    <w:rsid w:val="00974883"/>
    <w:rsid w:val="00975D57"/>
    <w:rsid w:val="009804E7"/>
    <w:rsid w:val="009816CA"/>
    <w:rsid w:val="009830D5"/>
    <w:rsid w:val="00986B35"/>
    <w:rsid w:val="00986D9A"/>
    <w:rsid w:val="00995159"/>
    <w:rsid w:val="009972C1"/>
    <w:rsid w:val="009A073C"/>
    <w:rsid w:val="009A0F0B"/>
    <w:rsid w:val="009A1D86"/>
    <w:rsid w:val="009A419F"/>
    <w:rsid w:val="009A69AE"/>
    <w:rsid w:val="009B3B4B"/>
    <w:rsid w:val="009B667A"/>
    <w:rsid w:val="009B7731"/>
    <w:rsid w:val="009B7D61"/>
    <w:rsid w:val="009C0899"/>
    <w:rsid w:val="009C13EE"/>
    <w:rsid w:val="009C1700"/>
    <w:rsid w:val="009C2703"/>
    <w:rsid w:val="009C2A1E"/>
    <w:rsid w:val="009C3677"/>
    <w:rsid w:val="009C41D9"/>
    <w:rsid w:val="009D39B0"/>
    <w:rsid w:val="009D4464"/>
    <w:rsid w:val="009E09C6"/>
    <w:rsid w:val="009E1E68"/>
    <w:rsid w:val="009E27F6"/>
    <w:rsid w:val="009E4367"/>
    <w:rsid w:val="009E449B"/>
    <w:rsid w:val="009F37EE"/>
    <w:rsid w:val="009F3C7D"/>
    <w:rsid w:val="009F4AE1"/>
    <w:rsid w:val="009F641E"/>
    <w:rsid w:val="00A02925"/>
    <w:rsid w:val="00A04001"/>
    <w:rsid w:val="00A0551D"/>
    <w:rsid w:val="00A06984"/>
    <w:rsid w:val="00A06A74"/>
    <w:rsid w:val="00A06AB0"/>
    <w:rsid w:val="00A16203"/>
    <w:rsid w:val="00A1649F"/>
    <w:rsid w:val="00A2050E"/>
    <w:rsid w:val="00A209FA"/>
    <w:rsid w:val="00A216A7"/>
    <w:rsid w:val="00A21941"/>
    <w:rsid w:val="00A263B2"/>
    <w:rsid w:val="00A31F48"/>
    <w:rsid w:val="00A336A3"/>
    <w:rsid w:val="00A43A97"/>
    <w:rsid w:val="00A44933"/>
    <w:rsid w:val="00A45C90"/>
    <w:rsid w:val="00A45F50"/>
    <w:rsid w:val="00A465E9"/>
    <w:rsid w:val="00A47655"/>
    <w:rsid w:val="00A50645"/>
    <w:rsid w:val="00A513F8"/>
    <w:rsid w:val="00A519D8"/>
    <w:rsid w:val="00A569E1"/>
    <w:rsid w:val="00A62AC5"/>
    <w:rsid w:val="00A63F52"/>
    <w:rsid w:val="00A64C92"/>
    <w:rsid w:val="00A6555B"/>
    <w:rsid w:val="00A72874"/>
    <w:rsid w:val="00A74C2F"/>
    <w:rsid w:val="00A76053"/>
    <w:rsid w:val="00A76AC8"/>
    <w:rsid w:val="00A775DF"/>
    <w:rsid w:val="00A80650"/>
    <w:rsid w:val="00A85B37"/>
    <w:rsid w:val="00A85D7E"/>
    <w:rsid w:val="00A85E49"/>
    <w:rsid w:val="00A8615D"/>
    <w:rsid w:val="00A86262"/>
    <w:rsid w:val="00A90CA8"/>
    <w:rsid w:val="00A938E3"/>
    <w:rsid w:val="00A944B0"/>
    <w:rsid w:val="00A95A67"/>
    <w:rsid w:val="00A96F45"/>
    <w:rsid w:val="00AA1709"/>
    <w:rsid w:val="00AA37DC"/>
    <w:rsid w:val="00AA7C52"/>
    <w:rsid w:val="00AB2F42"/>
    <w:rsid w:val="00AB3967"/>
    <w:rsid w:val="00AB3CA5"/>
    <w:rsid w:val="00AB4100"/>
    <w:rsid w:val="00AB59FB"/>
    <w:rsid w:val="00AB5A30"/>
    <w:rsid w:val="00AB739E"/>
    <w:rsid w:val="00AC07EE"/>
    <w:rsid w:val="00AC228D"/>
    <w:rsid w:val="00AC46E5"/>
    <w:rsid w:val="00AC51C0"/>
    <w:rsid w:val="00AD1B0F"/>
    <w:rsid w:val="00AD286C"/>
    <w:rsid w:val="00AD7D99"/>
    <w:rsid w:val="00AE1DE9"/>
    <w:rsid w:val="00AE20EC"/>
    <w:rsid w:val="00AE2682"/>
    <w:rsid w:val="00AE291E"/>
    <w:rsid w:val="00AE3252"/>
    <w:rsid w:val="00AE5425"/>
    <w:rsid w:val="00AE776D"/>
    <w:rsid w:val="00AF4FF2"/>
    <w:rsid w:val="00AF5679"/>
    <w:rsid w:val="00AF69DA"/>
    <w:rsid w:val="00AF7725"/>
    <w:rsid w:val="00B00728"/>
    <w:rsid w:val="00B016BA"/>
    <w:rsid w:val="00B01D4E"/>
    <w:rsid w:val="00B03B53"/>
    <w:rsid w:val="00B04D5D"/>
    <w:rsid w:val="00B06770"/>
    <w:rsid w:val="00B1167C"/>
    <w:rsid w:val="00B119C3"/>
    <w:rsid w:val="00B12A38"/>
    <w:rsid w:val="00B14C85"/>
    <w:rsid w:val="00B14FF6"/>
    <w:rsid w:val="00B20203"/>
    <w:rsid w:val="00B22ADE"/>
    <w:rsid w:val="00B22CD1"/>
    <w:rsid w:val="00B22E42"/>
    <w:rsid w:val="00B24313"/>
    <w:rsid w:val="00B25C77"/>
    <w:rsid w:val="00B26133"/>
    <w:rsid w:val="00B2747D"/>
    <w:rsid w:val="00B30D72"/>
    <w:rsid w:val="00B32882"/>
    <w:rsid w:val="00B4071E"/>
    <w:rsid w:val="00B415F7"/>
    <w:rsid w:val="00B42AB5"/>
    <w:rsid w:val="00B51A1E"/>
    <w:rsid w:val="00B51E70"/>
    <w:rsid w:val="00B56B97"/>
    <w:rsid w:val="00B6156C"/>
    <w:rsid w:val="00B62264"/>
    <w:rsid w:val="00B661CF"/>
    <w:rsid w:val="00B668EB"/>
    <w:rsid w:val="00B66FD4"/>
    <w:rsid w:val="00B67A91"/>
    <w:rsid w:val="00B70506"/>
    <w:rsid w:val="00B721A7"/>
    <w:rsid w:val="00B72BF8"/>
    <w:rsid w:val="00B77FB2"/>
    <w:rsid w:val="00B85898"/>
    <w:rsid w:val="00B86CCA"/>
    <w:rsid w:val="00B9054B"/>
    <w:rsid w:val="00B90826"/>
    <w:rsid w:val="00B908AA"/>
    <w:rsid w:val="00B917A3"/>
    <w:rsid w:val="00B95432"/>
    <w:rsid w:val="00BA0062"/>
    <w:rsid w:val="00BA1730"/>
    <w:rsid w:val="00BA1DD7"/>
    <w:rsid w:val="00BA7E54"/>
    <w:rsid w:val="00BB14F9"/>
    <w:rsid w:val="00BB3C13"/>
    <w:rsid w:val="00BB676E"/>
    <w:rsid w:val="00BB768A"/>
    <w:rsid w:val="00BD0EE5"/>
    <w:rsid w:val="00BD1856"/>
    <w:rsid w:val="00BD4EB4"/>
    <w:rsid w:val="00BD4F3A"/>
    <w:rsid w:val="00BD58F9"/>
    <w:rsid w:val="00BD629A"/>
    <w:rsid w:val="00BE497B"/>
    <w:rsid w:val="00BE6275"/>
    <w:rsid w:val="00BE76A2"/>
    <w:rsid w:val="00BF100D"/>
    <w:rsid w:val="00BF25BA"/>
    <w:rsid w:val="00C067E6"/>
    <w:rsid w:val="00C105F5"/>
    <w:rsid w:val="00C10EFB"/>
    <w:rsid w:val="00C12BF1"/>
    <w:rsid w:val="00C12E6A"/>
    <w:rsid w:val="00C2019A"/>
    <w:rsid w:val="00C26230"/>
    <w:rsid w:val="00C26EC5"/>
    <w:rsid w:val="00C27216"/>
    <w:rsid w:val="00C304E7"/>
    <w:rsid w:val="00C30B8D"/>
    <w:rsid w:val="00C3142C"/>
    <w:rsid w:val="00C37B5D"/>
    <w:rsid w:val="00C40535"/>
    <w:rsid w:val="00C422A8"/>
    <w:rsid w:val="00C42C72"/>
    <w:rsid w:val="00C42EA8"/>
    <w:rsid w:val="00C45F27"/>
    <w:rsid w:val="00C5392F"/>
    <w:rsid w:val="00C56F02"/>
    <w:rsid w:val="00C579E0"/>
    <w:rsid w:val="00C603BE"/>
    <w:rsid w:val="00C60B46"/>
    <w:rsid w:val="00C62215"/>
    <w:rsid w:val="00C65018"/>
    <w:rsid w:val="00C70D00"/>
    <w:rsid w:val="00C71778"/>
    <w:rsid w:val="00C71C4F"/>
    <w:rsid w:val="00C751C9"/>
    <w:rsid w:val="00C775D3"/>
    <w:rsid w:val="00C82317"/>
    <w:rsid w:val="00C83824"/>
    <w:rsid w:val="00C86340"/>
    <w:rsid w:val="00C879EE"/>
    <w:rsid w:val="00C921A8"/>
    <w:rsid w:val="00C970A0"/>
    <w:rsid w:val="00C97EC2"/>
    <w:rsid w:val="00CA03CE"/>
    <w:rsid w:val="00CA2957"/>
    <w:rsid w:val="00CA3F11"/>
    <w:rsid w:val="00CA40F0"/>
    <w:rsid w:val="00CA58C3"/>
    <w:rsid w:val="00CB0EE9"/>
    <w:rsid w:val="00CB153C"/>
    <w:rsid w:val="00CB1913"/>
    <w:rsid w:val="00CB3342"/>
    <w:rsid w:val="00CB4D1E"/>
    <w:rsid w:val="00CB4E06"/>
    <w:rsid w:val="00CB5915"/>
    <w:rsid w:val="00CB5BC0"/>
    <w:rsid w:val="00CB7CB8"/>
    <w:rsid w:val="00CC0E3E"/>
    <w:rsid w:val="00CC1572"/>
    <w:rsid w:val="00CC28A4"/>
    <w:rsid w:val="00CC4740"/>
    <w:rsid w:val="00CC4A08"/>
    <w:rsid w:val="00CC5A96"/>
    <w:rsid w:val="00CC742A"/>
    <w:rsid w:val="00CD26C7"/>
    <w:rsid w:val="00CE2047"/>
    <w:rsid w:val="00CE3F16"/>
    <w:rsid w:val="00CE3F4A"/>
    <w:rsid w:val="00CE57F2"/>
    <w:rsid w:val="00CE7AF8"/>
    <w:rsid w:val="00CF0396"/>
    <w:rsid w:val="00CF0EC3"/>
    <w:rsid w:val="00CF4C8F"/>
    <w:rsid w:val="00D008FE"/>
    <w:rsid w:val="00D0120C"/>
    <w:rsid w:val="00D02FD7"/>
    <w:rsid w:val="00D04052"/>
    <w:rsid w:val="00D05460"/>
    <w:rsid w:val="00D12A9E"/>
    <w:rsid w:val="00D12C1D"/>
    <w:rsid w:val="00D13D48"/>
    <w:rsid w:val="00D204A2"/>
    <w:rsid w:val="00D22129"/>
    <w:rsid w:val="00D223EB"/>
    <w:rsid w:val="00D2361C"/>
    <w:rsid w:val="00D23DCC"/>
    <w:rsid w:val="00D31D25"/>
    <w:rsid w:val="00D35D4B"/>
    <w:rsid w:val="00D4287D"/>
    <w:rsid w:val="00D4357E"/>
    <w:rsid w:val="00D448B6"/>
    <w:rsid w:val="00D454DB"/>
    <w:rsid w:val="00D57549"/>
    <w:rsid w:val="00D611AF"/>
    <w:rsid w:val="00D61BB0"/>
    <w:rsid w:val="00D63079"/>
    <w:rsid w:val="00D63921"/>
    <w:rsid w:val="00D6515C"/>
    <w:rsid w:val="00D65B2C"/>
    <w:rsid w:val="00D66C53"/>
    <w:rsid w:val="00D67B8B"/>
    <w:rsid w:val="00D70A6C"/>
    <w:rsid w:val="00D724C3"/>
    <w:rsid w:val="00D745BC"/>
    <w:rsid w:val="00D74F39"/>
    <w:rsid w:val="00D75CAE"/>
    <w:rsid w:val="00D7765D"/>
    <w:rsid w:val="00D8039A"/>
    <w:rsid w:val="00D815A8"/>
    <w:rsid w:val="00D815B6"/>
    <w:rsid w:val="00D84CE0"/>
    <w:rsid w:val="00D85E07"/>
    <w:rsid w:val="00D8667B"/>
    <w:rsid w:val="00D910BF"/>
    <w:rsid w:val="00D910C1"/>
    <w:rsid w:val="00D91B63"/>
    <w:rsid w:val="00DA4DD2"/>
    <w:rsid w:val="00DB0B7D"/>
    <w:rsid w:val="00DB31D0"/>
    <w:rsid w:val="00DB4776"/>
    <w:rsid w:val="00DB6E10"/>
    <w:rsid w:val="00DC3186"/>
    <w:rsid w:val="00DC5DD7"/>
    <w:rsid w:val="00DC7125"/>
    <w:rsid w:val="00DD086D"/>
    <w:rsid w:val="00DD20FD"/>
    <w:rsid w:val="00DD559E"/>
    <w:rsid w:val="00DE0621"/>
    <w:rsid w:val="00DE16D0"/>
    <w:rsid w:val="00DE190C"/>
    <w:rsid w:val="00DE4FCA"/>
    <w:rsid w:val="00DF0115"/>
    <w:rsid w:val="00DF05A9"/>
    <w:rsid w:val="00DF13C4"/>
    <w:rsid w:val="00DF1F6C"/>
    <w:rsid w:val="00DF241D"/>
    <w:rsid w:val="00DF25BD"/>
    <w:rsid w:val="00DF3592"/>
    <w:rsid w:val="00DF3C54"/>
    <w:rsid w:val="00DF6500"/>
    <w:rsid w:val="00E0374E"/>
    <w:rsid w:val="00E039C9"/>
    <w:rsid w:val="00E044E1"/>
    <w:rsid w:val="00E07F47"/>
    <w:rsid w:val="00E115AC"/>
    <w:rsid w:val="00E11664"/>
    <w:rsid w:val="00E1205D"/>
    <w:rsid w:val="00E125AB"/>
    <w:rsid w:val="00E202E4"/>
    <w:rsid w:val="00E22302"/>
    <w:rsid w:val="00E24BAE"/>
    <w:rsid w:val="00E265FE"/>
    <w:rsid w:val="00E31412"/>
    <w:rsid w:val="00E32A3A"/>
    <w:rsid w:val="00E3637F"/>
    <w:rsid w:val="00E40D54"/>
    <w:rsid w:val="00E423AA"/>
    <w:rsid w:val="00E437D8"/>
    <w:rsid w:val="00E43F6D"/>
    <w:rsid w:val="00E441C4"/>
    <w:rsid w:val="00E44C63"/>
    <w:rsid w:val="00E55FCB"/>
    <w:rsid w:val="00E561C4"/>
    <w:rsid w:val="00E60FEC"/>
    <w:rsid w:val="00E61040"/>
    <w:rsid w:val="00E61BCE"/>
    <w:rsid w:val="00E636B9"/>
    <w:rsid w:val="00E662DB"/>
    <w:rsid w:val="00E76F81"/>
    <w:rsid w:val="00E77D3F"/>
    <w:rsid w:val="00E80952"/>
    <w:rsid w:val="00E80AA9"/>
    <w:rsid w:val="00E82B48"/>
    <w:rsid w:val="00E83996"/>
    <w:rsid w:val="00E84589"/>
    <w:rsid w:val="00E86C3F"/>
    <w:rsid w:val="00E91ACF"/>
    <w:rsid w:val="00E92D67"/>
    <w:rsid w:val="00E958C8"/>
    <w:rsid w:val="00E97392"/>
    <w:rsid w:val="00E976C3"/>
    <w:rsid w:val="00EA23E2"/>
    <w:rsid w:val="00EA5B56"/>
    <w:rsid w:val="00EB3C93"/>
    <w:rsid w:val="00EB607C"/>
    <w:rsid w:val="00EB65D2"/>
    <w:rsid w:val="00EC0142"/>
    <w:rsid w:val="00EC10ED"/>
    <w:rsid w:val="00EC38FF"/>
    <w:rsid w:val="00EC5AC3"/>
    <w:rsid w:val="00ED1A5C"/>
    <w:rsid w:val="00ED1AC1"/>
    <w:rsid w:val="00ED2892"/>
    <w:rsid w:val="00ED3121"/>
    <w:rsid w:val="00ED3749"/>
    <w:rsid w:val="00ED3A19"/>
    <w:rsid w:val="00ED598D"/>
    <w:rsid w:val="00ED5D58"/>
    <w:rsid w:val="00EE0A00"/>
    <w:rsid w:val="00EE2635"/>
    <w:rsid w:val="00EE35FE"/>
    <w:rsid w:val="00EE6885"/>
    <w:rsid w:val="00EE68B0"/>
    <w:rsid w:val="00EE6E0B"/>
    <w:rsid w:val="00EF11AC"/>
    <w:rsid w:val="00EF2A6C"/>
    <w:rsid w:val="00EF392A"/>
    <w:rsid w:val="00EF4210"/>
    <w:rsid w:val="00EF47CE"/>
    <w:rsid w:val="00EF4D00"/>
    <w:rsid w:val="00EF68AC"/>
    <w:rsid w:val="00EF6D4B"/>
    <w:rsid w:val="00F022E9"/>
    <w:rsid w:val="00F116F0"/>
    <w:rsid w:val="00F125A8"/>
    <w:rsid w:val="00F15882"/>
    <w:rsid w:val="00F176FC"/>
    <w:rsid w:val="00F17762"/>
    <w:rsid w:val="00F20D31"/>
    <w:rsid w:val="00F22CD3"/>
    <w:rsid w:val="00F26558"/>
    <w:rsid w:val="00F324B1"/>
    <w:rsid w:val="00F34EE2"/>
    <w:rsid w:val="00F403A9"/>
    <w:rsid w:val="00F4138D"/>
    <w:rsid w:val="00F42908"/>
    <w:rsid w:val="00F45151"/>
    <w:rsid w:val="00F45B1D"/>
    <w:rsid w:val="00F467DA"/>
    <w:rsid w:val="00F46EB1"/>
    <w:rsid w:val="00F516C7"/>
    <w:rsid w:val="00F5701A"/>
    <w:rsid w:val="00F57DAF"/>
    <w:rsid w:val="00F62618"/>
    <w:rsid w:val="00F744E6"/>
    <w:rsid w:val="00F7561F"/>
    <w:rsid w:val="00F75FB1"/>
    <w:rsid w:val="00F773DD"/>
    <w:rsid w:val="00F80B3B"/>
    <w:rsid w:val="00F811EC"/>
    <w:rsid w:val="00F8134C"/>
    <w:rsid w:val="00F81B45"/>
    <w:rsid w:val="00F83D50"/>
    <w:rsid w:val="00F848C0"/>
    <w:rsid w:val="00F84F10"/>
    <w:rsid w:val="00F85658"/>
    <w:rsid w:val="00F85ABC"/>
    <w:rsid w:val="00F87A1E"/>
    <w:rsid w:val="00F90030"/>
    <w:rsid w:val="00F92220"/>
    <w:rsid w:val="00F96598"/>
    <w:rsid w:val="00F975E7"/>
    <w:rsid w:val="00FA0CF5"/>
    <w:rsid w:val="00FA59C7"/>
    <w:rsid w:val="00FB0AB6"/>
    <w:rsid w:val="00FB3669"/>
    <w:rsid w:val="00FB4020"/>
    <w:rsid w:val="00FB6383"/>
    <w:rsid w:val="00FB6951"/>
    <w:rsid w:val="00FB78B1"/>
    <w:rsid w:val="00FB797F"/>
    <w:rsid w:val="00FC130C"/>
    <w:rsid w:val="00FC4FE1"/>
    <w:rsid w:val="00FC67FF"/>
    <w:rsid w:val="00FC69FB"/>
    <w:rsid w:val="00FD19DB"/>
    <w:rsid w:val="00FD2630"/>
    <w:rsid w:val="00FD39EA"/>
    <w:rsid w:val="00FD49E0"/>
    <w:rsid w:val="00FD7A1C"/>
    <w:rsid w:val="00FD7A1D"/>
    <w:rsid w:val="00FE3E9E"/>
    <w:rsid w:val="00FE6532"/>
    <w:rsid w:val="00FF2B0A"/>
    <w:rsid w:val="00FF380E"/>
    <w:rsid w:val="00FF4AED"/>
    <w:rsid w:val="00FF5C9A"/>
    <w:rsid w:val="00FF721E"/>
    <w:rsid w:val="00FF783F"/>
    <w:rsid w:val="00FF7CBA"/>
    <w:rsid w:val="00FF7E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429A"/>
  <w15:docId w15:val="{C3B112E9-9A15-454C-B65A-24E8DE3C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E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D1C6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4D1C67"/>
    <w:rPr>
      <w:color w:val="0000FF"/>
      <w:u w:val="single"/>
    </w:rPr>
  </w:style>
  <w:style w:type="character" w:styleId="Textoennegrita">
    <w:name w:val="Strong"/>
    <w:basedOn w:val="Fuentedeprrafopredeter"/>
    <w:uiPriority w:val="22"/>
    <w:qFormat/>
    <w:rsid w:val="00601C77"/>
    <w:rPr>
      <w:b/>
      <w:bCs/>
    </w:rPr>
  </w:style>
  <w:style w:type="table" w:styleId="Tablaconcuadrcula">
    <w:name w:val="Table Grid"/>
    <w:basedOn w:val="Tablanormal"/>
    <w:uiPriority w:val="39"/>
    <w:rsid w:val="002C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01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0125"/>
  </w:style>
  <w:style w:type="paragraph" w:styleId="Piedepgina">
    <w:name w:val="footer"/>
    <w:basedOn w:val="Normal"/>
    <w:link w:val="PiedepginaCar"/>
    <w:uiPriority w:val="99"/>
    <w:unhideWhenUsed/>
    <w:rsid w:val="002601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0125"/>
  </w:style>
  <w:style w:type="paragraph" w:styleId="Textodeglobo">
    <w:name w:val="Balloon Text"/>
    <w:basedOn w:val="Normal"/>
    <w:link w:val="TextodegloboCar"/>
    <w:uiPriority w:val="99"/>
    <w:semiHidden/>
    <w:unhideWhenUsed/>
    <w:rsid w:val="00AA37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37DC"/>
    <w:rPr>
      <w:rFonts w:ascii="Segoe UI" w:hAnsi="Segoe UI" w:cs="Segoe UI"/>
      <w:sz w:val="18"/>
      <w:szCs w:val="18"/>
    </w:rPr>
  </w:style>
  <w:style w:type="paragraph" w:customStyle="1" w:styleId="Standard">
    <w:name w:val="Standard"/>
    <w:rsid w:val="00245EBF"/>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val="es-ES" w:eastAsia="zh-CN"/>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
    <w:basedOn w:val="Normal"/>
    <w:link w:val="TextonotapieCar"/>
    <w:unhideWhenUsed/>
    <w:rsid w:val="00384C0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384C02"/>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Pie de Página,FC,Appel note de bas de page,Footnotes refss,Footnote number,referencia nota al pie,BVI fnr,f,4_G,16 Point,Superscript 6 Point,Texto nota al pie,Texto de nota al pi,Ref"/>
    <w:basedOn w:val="Fuentedeprrafopredeter"/>
    <w:uiPriority w:val="99"/>
    <w:unhideWhenUsed/>
    <w:rsid w:val="00384C02"/>
    <w:rPr>
      <w:vertAlign w:val="superscript"/>
    </w:rPr>
  </w:style>
  <w:style w:type="paragraph" w:styleId="Prrafodelista">
    <w:name w:val="List Paragraph"/>
    <w:basedOn w:val="Normal"/>
    <w:uiPriority w:val="34"/>
    <w:qFormat/>
    <w:rsid w:val="00384C02"/>
    <w:pPr>
      <w:widowControl w:val="0"/>
      <w:suppressAutoHyphens/>
      <w:autoSpaceDN w:val="0"/>
      <w:spacing w:after="0" w:line="240" w:lineRule="auto"/>
      <w:ind w:left="720"/>
      <w:contextualSpacing/>
      <w:textAlignment w:val="baseline"/>
    </w:pPr>
    <w:rPr>
      <w:rFonts w:ascii="Liberation Serif" w:eastAsia="Droid Sans" w:hAnsi="Liberation Serif" w:cs="Mangal"/>
      <w:kern w:val="3"/>
      <w:sz w:val="20"/>
      <w:szCs w:val="24"/>
      <w:lang w:eastAsia="zh-CN" w:bidi="hi-IN"/>
    </w:rPr>
  </w:style>
  <w:style w:type="paragraph" w:customStyle="1" w:styleId="normal1">
    <w:name w:val="normal1"/>
    <w:basedOn w:val="Normal"/>
    <w:rsid w:val="003E566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inespaciado1">
    <w:name w:val="Sin espaciado1"/>
    <w:rsid w:val="00485CC5"/>
    <w:pPr>
      <w:suppressAutoHyphens/>
      <w:autoSpaceDN w:val="0"/>
      <w:spacing w:after="0" w:line="240" w:lineRule="auto"/>
      <w:textAlignment w:val="baseline"/>
    </w:pPr>
    <w:rPr>
      <w:rFonts w:ascii="Calibri" w:eastAsia="Arial" w:hAnsi="Calibri" w:cs="Calibri"/>
      <w:kern w:val="3"/>
      <w:lang w:eastAsia="zh-CN"/>
    </w:rPr>
  </w:style>
  <w:style w:type="character" w:customStyle="1" w:styleId="l">
    <w:name w:val="l"/>
    <w:rsid w:val="00A45C90"/>
  </w:style>
  <w:style w:type="character" w:customStyle="1" w:styleId="nacep">
    <w:name w:val="n_acep"/>
    <w:rsid w:val="00A45C90"/>
  </w:style>
  <w:style w:type="character" w:customStyle="1" w:styleId="u">
    <w:name w:val="u"/>
    <w:rsid w:val="00A45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48664">
      <w:bodyDiv w:val="1"/>
      <w:marLeft w:val="0"/>
      <w:marRight w:val="0"/>
      <w:marTop w:val="0"/>
      <w:marBottom w:val="0"/>
      <w:divBdr>
        <w:top w:val="none" w:sz="0" w:space="0" w:color="auto"/>
        <w:left w:val="none" w:sz="0" w:space="0" w:color="auto"/>
        <w:bottom w:val="none" w:sz="0" w:space="0" w:color="auto"/>
        <w:right w:val="none" w:sz="0" w:space="0" w:color="auto"/>
      </w:divBdr>
    </w:div>
    <w:div w:id="571282405">
      <w:bodyDiv w:val="1"/>
      <w:marLeft w:val="0"/>
      <w:marRight w:val="0"/>
      <w:marTop w:val="0"/>
      <w:marBottom w:val="0"/>
      <w:divBdr>
        <w:top w:val="none" w:sz="0" w:space="0" w:color="auto"/>
        <w:left w:val="none" w:sz="0" w:space="0" w:color="auto"/>
        <w:bottom w:val="none" w:sz="0" w:space="0" w:color="auto"/>
        <w:right w:val="none" w:sz="0" w:space="0" w:color="auto"/>
      </w:divBdr>
    </w:div>
    <w:div w:id="682248946">
      <w:bodyDiv w:val="1"/>
      <w:marLeft w:val="0"/>
      <w:marRight w:val="0"/>
      <w:marTop w:val="0"/>
      <w:marBottom w:val="0"/>
      <w:divBdr>
        <w:top w:val="none" w:sz="0" w:space="0" w:color="auto"/>
        <w:left w:val="none" w:sz="0" w:space="0" w:color="auto"/>
        <w:bottom w:val="none" w:sz="0" w:space="0" w:color="auto"/>
        <w:right w:val="none" w:sz="0" w:space="0" w:color="auto"/>
      </w:divBdr>
    </w:div>
    <w:div w:id="736052060">
      <w:bodyDiv w:val="1"/>
      <w:marLeft w:val="0"/>
      <w:marRight w:val="0"/>
      <w:marTop w:val="0"/>
      <w:marBottom w:val="0"/>
      <w:divBdr>
        <w:top w:val="none" w:sz="0" w:space="0" w:color="auto"/>
        <w:left w:val="none" w:sz="0" w:space="0" w:color="auto"/>
        <w:bottom w:val="none" w:sz="0" w:space="0" w:color="auto"/>
        <w:right w:val="none" w:sz="0" w:space="0" w:color="auto"/>
      </w:divBdr>
    </w:div>
    <w:div w:id="742525842">
      <w:bodyDiv w:val="1"/>
      <w:marLeft w:val="0"/>
      <w:marRight w:val="0"/>
      <w:marTop w:val="0"/>
      <w:marBottom w:val="0"/>
      <w:divBdr>
        <w:top w:val="none" w:sz="0" w:space="0" w:color="auto"/>
        <w:left w:val="none" w:sz="0" w:space="0" w:color="auto"/>
        <w:bottom w:val="none" w:sz="0" w:space="0" w:color="auto"/>
        <w:right w:val="none" w:sz="0" w:space="0" w:color="auto"/>
      </w:divBdr>
    </w:div>
    <w:div w:id="842087016">
      <w:bodyDiv w:val="1"/>
      <w:marLeft w:val="0"/>
      <w:marRight w:val="0"/>
      <w:marTop w:val="0"/>
      <w:marBottom w:val="0"/>
      <w:divBdr>
        <w:top w:val="none" w:sz="0" w:space="0" w:color="auto"/>
        <w:left w:val="none" w:sz="0" w:space="0" w:color="auto"/>
        <w:bottom w:val="none" w:sz="0" w:space="0" w:color="auto"/>
        <w:right w:val="none" w:sz="0" w:space="0" w:color="auto"/>
      </w:divBdr>
    </w:div>
    <w:div w:id="844054230">
      <w:bodyDiv w:val="1"/>
      <w:marLeft w:val="0"/>
      <w:marRight w:val="0"/>
      <w:marTop w:val="0"/>
      <w:marBottom w:val="0"/>
      <w:divBdr>
        <w:top w:val="none" w:sz="0" w:space="0" w:color="auto"/>
        <w:left w:val="none" w:sz="0" w:space="0" w:color="auto"/>
        <w:bottom w:val="none" w:sz="0" w:space="0" w:color="auto"/>
        <w:right w:val="none" w:sz="0" w:space="0" w:color="auto"/>
      </w:divBdr>
    </w:div>
    <w:div w:id="1144733837">
      <w:bodyDiv w:val="1"/>
      <w:marLeft w:val="0"/>
      <w:marRight w:val="0"/>
      <w:marTop w:val="0"/>
      <w:marBottom w:val="0"/>
      <w:divBdr>
        <w:top w:val="none" w:sz="0" w:space="0" w:color="auto"/>
        <w:left w:val="none" w:sz="0" w:space="0" w:color="auto"/>
        <w:bottom w:val="none" w:sz="0" w:space="0" w:color="auto"/>
        <w:right w:val="none" w:sz="0" w:space="0" w:color="auto"/>
      </w:divBdr>
    </w:div>
    <w:div w:id="1150751291">
      <w:bodyDiv w:val="1"/>
      <w:marLeft w:val="0"/>
      <w:marRight w:val="0"/>
      <w:marTop w:val="0"/>
      <w:marBottom w:val="0"/>
      <w:divBdr>
        <w:top w:val="none" w:sz="0" w:space="0" w:color="auto"/>
        <w:left w:val="none" w:sz="0" w:space="0" w:color="auto"/>
        <w:bottom w:val="none" w:sz="0" w:space="0" w:color="auto"/>
        <w:right w:val="none" w:sz="0" w:space="0" w:color="auto"/>
      </w:divBdr>
    </w:div>
    <w:div w:id="1233001795">
      <w:bodyDiv w:val="1"/>
      <w:marLeft w:val="0"/>
      <w:marRight w:val="0"/>
      <w:marTop w:val="0"/>
      <w:marBottom w:val="0"/>
      <w:divBdr>
        <w:top w:val="none" w:sz="0" w:space="0" w:color="auto"/>
        <w:left w:val="none" w:sz="0" w:space="0" w:color="auto"/>
        <w:bottom w:val="none" w:sz="0" w:space="0" w:color="auto"/>
        <w:right w:val="none" w:sz="0" w:space="0" w:color="auto"/>
      </w:divBdr>
    </w:div>
    <w:div w:id="1326592931">
      <w:bodyDiv w:val="1"/>
      <w:marLeft w:val="0"/>
      <w:marRight w:val="0"/>
      <w:marTop w:val="0"/>
      <w:marBottom w:val="0"/>
      <w:divBdr>
        <w:top w:val="none" w:sz="0" w:space="0" w:color="auto"/>
        <w:left w:val="none" w:sz="0" w:space="0" w:color="auto"/>
        <w:bottom w:val="none" w:sz="0" w:space="0" w:color="auto"/>
        <w:right w:val="none" w:sz="0" w:space="0" w:color="auto"/>
      </w:divBdr>
    </w:div>
    <w:div w:id="1410232259">
      <w:bodyDiv w:val="1"/>
      <w:marLeft w:val="0"/>
      <w:marRight w:val="0"/>
      <w:marTop w:val="0"/>
      <w:marBottom w:val="0"/>
      <w:divBdr>
        <w:top w:val="none" w:sz="0" w:space="0" w:color="auto"/>
        <w:left w:val="none" w:sz="0" w:space="0" w:color="auto"/>
        <w:bottom w:val="none" w:sz="0" w:space="0" w:color="auto"/>
        <w:right w:val="none" w:sz="0" w:space="0" w:color="auto"/>
      </w:divBdr>
    </w:div>
    <w:div w:id="1601060723">
      <w:bodyDiv w:val="1"/>
      <w:marLeft w:val="0"/>
      <w:marRight w:val="0"/>
      <w:marTop w:val="0"/>
      <w:marBottom w:val="0"/>
      <w:divBdr>
        <w:top w:val="none" w:sz="0" w:space="0" w:color="auto"/>
        <w:left w:val="none" w:sz="0" w:space="0" w:color="auto"/>
        <w:bottom w:val="none" w:sz="0" w:space="0" w:color="auto"/>
        <w:right w:val="none" w:sz="0" w:space="0" w:color="auto"/>
      </w:divBdr>
    </w:div>
    <w:div w:id="1620186113">
      <w:bodyDiv w:val="1"/>
      <w:marLeft w:val="0"/>
      <w:marRight w:val="0"/>
      <w:marTop w:val="0"/>
      <w:marBottom w:val="0"/>
      <w:divBdr>
        <w:top w:val="none" w:sz="0" w:space="0" w:color="auto"/>
        <w:left w:val="none" w:sz="0" w:space="0" w:color="auto"/>
        <w:bottom w:val="none" w:sz="0" w:space="0" w:color="auto"/>
        <w:right w:val="none" w:sz="0" w:space="0" w:color="auto"/>
      </w:divBdr>
    </w:div>
    <w:div w:id="1635863910">
      <w:bodyDiv w:val="1"/>
      <w:marLeft w:val="0"/>
      <w:marRight w:val="0"/>
      <w:marTop w:val="0"/>
      <w:marBottom w:val="0"/>
      <w:divBdr>
        <w:top w:val="none" w:sz="0" w:space="0" w:color="auto"/>
        <w:left w:val="none" w:sz="0" w:space="0" w:color="auto"/>
        <w:bottom w:val="none" w:sz="0" w:space="0" w:color="auto"/>
        <w:right w:val="none" w:sz="0" w:space="0" w:color="auto"/>
      </w:divBdr>
    </w:div>
    <w:div w:id="176699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80_1993.html" TargetMode="External"/><Relationship Id="rId13" Type="http://schemas.openxmlformats.org/officeDocument/2006/relationships/hyperlink" Target="http://www.alcaldiabogota.gov.co/sisjur/normas/Norma1.jsp?i=1494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caldiabogota.gov.co/sisjur/normas/Norma1.jsp?i=148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lcaldiabogota.gov.co/sisjur/normas/Norma1.jsp?i=149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14941" TargetMode="External"/><Relationship Id="rId5" Type="http://schemas.openxmlformats.org/officeDocument/2006/relationships/webSettings" Target="webSettings.xml"/><Relationship Id="rId15" Type="http://schemas.openxmlformats.org/officeDocument/2006/relationships/hyperlink" Target="http://www.alcaldiabogota.gov.co/sisjur/normas/Norma1.jsp?i=14811" TargetMode="External"/><Relationship Id="rId10" Type="http://schemas.openxmlformats.org/officeDocument/2006/relationships/hyperlink" Target="http://www.alcaldiabogota.gov.co/sisjur/normas/Norma1.jsp?i=1481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cretariasenado.gov.co/senado/basedoc/ley_1150_2007.html" TargetMode="External"/><Relationship Id="rId14" Type="http://schemas.openxmlformats.org/officeDocument/2006/relationships/hyperlink" Target="http://www.alcaldiabogota.gov.co/sisjur/normas/Norma1.jsp?i=1494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34FFD-3E2A-43C9-A34E-CAE1D5FC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33600</Words>
  <Characters>184805</Characters>
  <Application>Microsoft Office Word</Application>
  <DocSecurity>0</DocSecurity>
  <Lines>1540</Lines>
  <Paragraphs>435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Tovar Celis</dc:creator>
  <cp:lastModifiedBy>Liliana Tovar Celis</cp:lastModifiedBy>
  <cp:revision>2</cp:revision>
  <cp:lastPrinted>2018-09-14T13:34:00Z</cp:lastPrinted>
  <dcterms:created xsi:type="dcterms:W3CDTF">2018-09-14T14:31:00Z</dcterms:created>
  <dcterms:modified xsi:type="dcterms:W3CDTF">2018-09-14T14:31:00Z</dcterms:modified>
</cp:coreProperties>
</file>